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5D" w:rsidRPr="00C91425" w:rsidRDefault="0094665D" w:rsidP="009466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425">
        <w:rPr>
          <w:rFonts w:ascii="Times New Roman" w:hAnsi="Times New Roman" w:cs="Times New Roman"/>
          <w:sz w:val="24"/>
          <w:szCs w:val="24"/>
        </w:rPr>
        <w:t xml:space="preserve">Веселов Д.А. </w:t>
      </w:r>
      <w:r w:rsidRPr="00C91425">
        <w:rPr>
          <w:rFonts w:ascii="Times New Roman" w:hAnsi="Times New Roman" w:cs="Times New Roman"/>
          <w:sz w:val="24"/>
          <w:szCs w:val="24"/>
        </w:rPr>
        <w:t xml:space="preserve">(НИУ ВШЭ) </w:t>
      </w:r>
      <w:r w:rsidRPr="00C9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25">
        <w:rPr>
          <w:rFonts w:ascii="Times New Roman" w:hAnsi="Times New Roman" w:cs="Times New Roman"/>
          <w:sz w:val="24"/>
          <w:szCs w:val="24"/>
        </w:rPr>
        <w:t>Яркин</w:t>
      </w:r>
      <w:proofErr w:type="spellEnd"/>
      <w:r w:rsidRPr="00C91425">
        <w:rPr>
          <w:rFonts w:ascii="Times New Roman" w:hAnsi="Times New Roman" w:cs="Times New Roman"/>
          <w:sz w:val="24"/>
          <w:szCs w:val="24"/>
        </w:rPr>
        <w:t xml:space="preserve"> А.М., </w:t>
      </w:r>
      <w:r w:rsidRPr="00C91425">
        <w:rPr>
          <w:rFonts w:ascii="Times New Roman" w:hAnsi="Times New Roman" w:cs="Times New Roman"/>
          <w:sz w:val="24"/>
          <w:szCs w:val="24"/>
        </w:rPr>
        <w:t>(НИУ ВШЭ)</w:t>
      </w:r>
    </w:p>
    <w:p w:rsidR="0094665D" w:rsidRDefault="0094665D" w:rsidP="0094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65D" w:rsidRPr="00690658" w:rsidRDefault="0094665D" w:rsidP="009466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0658">
        <w:rPr>
          <w:rFonts w:ascii="Times New Roman" w:hAnsi="Times New Roman" w:cs="Times New Roman"/>
          <w:b/>
          <w:sz w:val="28"/>
          <w:szCs w:val="28"/>
        </w:rPr>
        <w:t>Распределение богатства и политический конфликт на различных стадиях экономического роста</w:t>
      </w:r>
    </w:p>
    <w:p w:rsidR="0094665D" w:rsidRDefault="0094665D" w:rsidP="0094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65D" w:rsidRPr="00C91425" w:rsidRDefault="0094665D" w:rsidP="0094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долгосрочного экономического развития – это, во многом, история сменяющих друг друга стадий политической борьбы вокруг институционального устройства между доминирующими на данном этапе группами интересов. Так, в эпоху Мальтузианской стагнации, степень эксплуатации рабочей силы определялась в результате конфликта между работниками («массами») и землевладельцами («элитой»); исход конфликта определял дальнейшие перспективы развития. В эпоху индустриализации определяющим стал конфликт внутри класса элиты. Между зарождающимся классом капиталистов и традиционной элитой (и другими противниками индустриализации) шла постоянная борьба за влияние на принятие решений об образовательных реформах</w:t>
      </w:r>
      <w:r w:rsidRPr="00F44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Galor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F44198">
        <w:rPr>
          <w:rFonts w:ascii="Times New Roman" w:hAnsi="Times New Roman" w:cs="Times New Roman"/>
          <w:sz w:val="24"/>
          <w:szCs w:val="24"/>
        </w:rPr>
        <w:t>(</w:t>
      </w:r>
      <w:r w:rsidRPr="009863F2">
        <w:rPr>
          <w:rFonts w:ascii="Times New Roman" w:hAnsi="Times New Roman" w:cs="Times New Roman"/>
          <w:sz w:val="24"/>
          <w:szCs w:val="24"/>
        </w:rPr>
        <w:t>2009)</w:t>
      </w:r>
      <w:r>
        <w:rPr>
          <w:rFonts w:ascii="Times New Roman" w:hAnsi="Times New Roman" w:cs="Times New Roman"/>
          <w:sz w:val="24"/>
          <w:szCs w:val="24"/>
        </w:rPr>
        <w:t>, защите прав собственности</w:t>
      </w:r>
      <w:r w:rsidRPr="00F44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North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Weingast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1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1989) и доступе на рынок новых технологий</w:t>
      </w:r>
      <w:r w:rsidRPr="00F44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Parente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Prescott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F44198">
        <w:rPr>
          <w:rFonts w:ascii="Times New Roman" w:hAnsi="Times New Roman" w:cs="Times New Roman"/>
          <w:sz w:val="24"/>
          <w:szCs w:val="24"/>
        </w:rPr>
        <w:t>(</w:t>
      </w:r>
      <w:r w:rsidRPr="009863F2">
        <w:rPr>
          <w:rFonts w:ascii="Times New Roman" w:hAnsi="Times New Roman" w:cs="Times New Roman"/>
          <w:sz w:val="24"/>
          <w:szCs w:val="24"/>
        </w:rPr>
        <w:t>1994)</w:t>
      </w:r>
      <w:r>
        <w:rPr>
          <w:rFonts w:ascii="Times New Roman" w:hAnsi="Times New Roman" w:cs="Times New Roman"/>
          <w:sz w:val="24"/>
          <w:szCs w:val="24"/>
        </w:rPr>
        <w:t>, что и определяло темпы развития современного сектора. В режиме современного роста, политический конфликт вокруг институционального устройства может затухать в связи с размывание социальных классов и усилением роли человеческого капитала (</w:t>
      </w:r>
      <w:r>
        <w:rPr>
          <w:rFonts w:ascii="Times New Roman" w:hAnsi="Times New Roman" w:cs="Times New Roman"/>
          <w:sz w:val="24"/>
          <w:szCs w:val="24"/>
          <w:lang w:val="fr-FR"/>
        </w:rPr>
        <w:t>Galor</w:t>
      </w:r>
      <w:r w:rsidRPr="007B31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Moav</w:t>
      </w:r>
      <w:r w:rsidRPr="007B3139">
        <w:rPr>
          <w:rFonts w:ascii="Times New Roman" w:hAnsi="Times New Roman" w:cs="Times New Roman"/>
          <w:sz w:val="24"/>
          <w:szCs w:val="24"/>
        </w:rPr>
        <w:t xml:space="preserve">, 2004). </w:t>
      </w:r>
      <w:r>
        <w:rPr>
          <w:rFonts w:ascii="Times New Roman" w:hAnsi="Times New Roman" w:cs="Times New Roman"/>
          <w:sz w:val="24"/>
          <w:szCs w:val="24"/>
        </w:rPr>
        <w:t xml:space="preserve">В то же время, он может снова разворачивается </w:t>
      </w:r>
      <w:r w:rsidRPr="00C91425">
        <w:rPr>
          <w:rFonts w:ascii="Times New Roman" w:hAnsi="Times New Roman" w:cs="Times New Roman"/>
          <w:sz w:val="24"/>
          <w:szCs w:val="24"/>
        </w:rPr>
        <w:t xml:space="preserve">между элитой и массами: крупные капиталисты зачастую поддерживают институты закрытого доступа (блокирование входа на рынки новых фирм, давление на малый бизнес – см. </w:t>
      </w: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Djankov</w:t>
      </w:r>
      <w:proofErr w:type="spellEnd"/>
      <w:r w:rsidRPr="00C91425">
        <w:rPr>
          <w:rFonts w:ascii="Times New Roman" w:hAnsi="Times New Roman" w:cs="Times New Roman"/>
          <w:sz w:val="24"/>
          <w:szCs w:val="24"/>
        </w:rPr>
        <w:t xml:space="preserve"> 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91425">
        <w:rPr>
          <w:rFonts w:ascii="Times New Roman" w:hAnsi="Times New Roman" w:cs="Times New Roman"/>
          <w:sz w:val="24"/>
          <w:szCs w:val="24"/>
        </w:rPr>
        <w:t xml:space="preserve"> 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91425">
        <w:rPr>
          <w:rFonts w:ascii="Times New Roman" w:hAnsi="Times New Roman" w:cs="Times New Roman"/>
          <w:sz w:val="24"/>
          <w:szCs w:val="24"/>
        </w:rPr>
        <w:t xml:space="preserve">. (2002), </w:t>
      </w: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Sonin</w:t>
      </w:r>
      <w:proofErr w:type="spellEnd"/>
      <w:r w:rsidRPr="00C91425">
        <w:rPr>
          <w:rFonts w:ascii="Times New Roman" w:hAnsi="Times New Roman" w:cs="Times New Roman"/>
          <w:sz w:val="24"/>
          <w:szCs w:val="24"/>
        </w:rPr>
        <w:t xml:space="preserve"> (2003), Веселов (2015)), тогда как малые собственники капитала и остальное население проигрывает от этого. Данная динамика политического конфликта характерна как для многих нынешних демократий, так и для недемократических режимов.</w:t>
      </w:r>
    </w:p>
    <w:p w:rsidR="0094665D" w:rsidRDefault="0094665D" w:rsidP="00946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425">
        <w:rPr>
          <w:rFonts w:ascii="Times New Roman" w:hAnsi="Times New Roman" w:cs="Times New Roman"/>
          <w:sz w:val="24"/>
          <w:szCs w:val="24"/>
        </w:rPr>
        <w:t>В нашей работе мы предлагаем объяснение данному процессу сменяющих друг</w:t>
      </w:r>
      <w:r>
        <w:rPr>
          <w:rFonts w:ascii="Times New Roman" w:hAnsi="Times New Roman" w:cs="Times New Roman"/>
          <w:sz w:val="24"/>
          <w:szCs w:val="24"/>
        </w:rPr>
        <w:t xml:space="preserve"> друга фаз политического конфликта в рамках модели единой теории роста, дополненной механизмами политического конфликта между асимметричными группами интересов. Более того, мы показываем, как различия в концентрации богатства на той или иной стадии позволяют объяснить успехи или неудачи стран в развитии. Тем самым, мы дополняем растущий пласт литературы о глубинных факторах экономического роста и роли неравенства в экономическом росте.</w:t>
      </w:r>
    </w:p>
    <w:p w:rsidR="0094665D" w:rsidRDefault="0094665D" w:rsidP="00946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модели экономика представлена двумя секторами, традиционным (использующим землю) и современным (использующим капитал), а население моделируется в рамках структуры перекрывающихся поколений. Капитал, земля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способности распределены неравномерно среди населения, что приводит к возникновению противоположных предпочтений касательно качества институтов: доступа на рынок новых капиталистов (фирм) и роста производительности в современном секторе. В каждый период разнородные по богатству агенты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некооперативно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вкладывают ресурсы в конфликт, в результате чего одна из групп получает политическую власть, побеждая в этом конфликте, и влияет на качество институтов.</w:t>
      </w:r>
    </w:p>
    <w:p w:rsidR="0094665D" w:rsidRDefault="0094665D" w:rsidP="00946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всех стадиях экономического роста, определяющим для исхода конфликта </w:t>
      </w:r>
      <w:r w:rsidRPr="00C91425">
        <w:rPr>
          <w:rFonts w:ascii="Times New Roman" w:hAnsi="Times New Roman" w:cs="Times New Roman"/>
          <w:sz w:val="24"/>
          <w:szCs w:val="24"/>
        </w:rPr>
        <w:t xml:space="preserve">фактором было распределение богатства между группами и внутри них. </w:t>
      </w:r>
      <w:proofErr w:type="gramStart"/>
      <w:r w:rsidRPr="00C91425">
        <w:rPr>
          <w:rFonts w:ascii="Times New Roman" w:hAnsi="Times New Roman" w:cs="Times New Roman"/>
          <w:sz w:val="24"/>
          <w:szCs w:val="24"/>
        </w:rPr>
        <w:t xml:space="preserve">Так, еще в работе </w:t>
      </w: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Engerman</w:t>
      </w:r>
      <w:proofErr w:type="spellEnd"/>
      <w:r w:rsidRPr="00C91425">
        <w:rPr>
          <w:rFonts w:ascii="Times New Roman" w:hAnsi="Times New Roman" w:cs="Times New Roman"/>
          <w:sz w:val="24"/>
          <w:szCs w:val="24"/>
        </w:rPr>
        <w:t xml:space="preserve"> 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91425">
        <w:rPr>
          <w:rFonts w:ascii="Times New Roman" w:hAnsi="Times New Roman" w:cs="Times New Roman"/>
          <w:sz w:val="24"/>
          <w:szCs w:val="24"/>
        </w:rPr>
        <w:t xml:space="preserve"> 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>Sokoloff</w:t>
      </w:r>
      <w:r w:rsidRPr="00C91425">
        <w:rPr>
          <w:rFonts w:ascii="Times New Roman" w:hAnsi="Times New Roman" w:cs="Times New Roman"/>
          <w:sz w:val="24"/>
          <w:szCs w:val="24"/>
        </w:rPr>
        <w:t xml:space="preserve"> (2000) было</w:t>
      </w:r>
      <w:r>
        <w:rPr>
          <w:rFonts w:ascii="Times New Roman" w:hAnsi="Times New Roman" w:cs="Times New Roman"/>
          <w:sz w:val="24"/>
          <w:szCs w:val="24"/>
        </w:rPr>
        <w:t xml:space="preserve"> показано, что в тех странах Нового Света, где у традиционной элиты было больше земли и природных ресурсов, элита дольше сохраняла политическую власть и не была заинтересована в развитии современного сектора, что отражалось в слабых институтах, замедляющих рост и ведущих к еще большей концентрации богатства.</w:t>
      </w:r>
      <w:proofErr w:type="gramEnd"/>
      <w:r w:rsidRPr="00E1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Схожим образом, в работе </w:t>
      </w:r>
      <w:r>
        <w:rPr>
          <w:rFonts w:ascii="Times New Roman" w:hAnsi="Times New Roman" w:cs="Times New Roman"/>
          <w:sz w:val="24"/>
          <w:szCs w:val="24"/>
          <w:lang w:val="en-US"/>
        </w:rPr>
        <w:t>Mokyr</w:t>
      </w:r>
      <w:r w:rsidRPr="00A76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76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Nye</w:t>
      </w:r>
      <w:r w:rsidRPr="00A761BE">
        <w:rPr>
          <w:rFonts w:ascii="Times New Roman" w:hAnsi="Times New Roman" w:cs="Times New Roman"/>
          <w:sz w:val="24"/>
          <w:szCs w:val="24"/>
        </w:rPr>
        <w:t xml:space="preserve"> (2007) </w:t>
      </w:r>
      <w:r>
        <w:rPr>
          <w:rFonts w:ascii="Times New Roman" w:hAnsi="Times New Roman" w:cs="Times New Roman"/>
          <w:sz w:val="24"/>
          <w:szCs w:val="24"/>
        </w:rPr>
        <w:t xml:space="preserve">показано, что в Англии переломный момент в политической борьбе между сторонниками и противниками индустриализации настал тогда, когда капитал и производство стали достаточно концентрированы в руках новой промышленной элиты. </w:t>
      </w:r>
    </w:p>
    <w:p w:rsidR="0094665D" w:rsidRDefault="0094665D" w:rsidP="00946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Предложенная нами модель позволяет проследить воздействие неравенства на экономический рост от стадии Мальтузианской стагнации и ранней индустриализации до современного режима роста. В существующей литературе, динамика определяющих для </w:t>
      </w:r>
      <w:r w:rsidRPr="00C91425">
        <w:rPr>
          <w:rFonts w:ascii="Times New Roman" w:hAnsi="Times New Roman" w:cs="Times New Roman"/>
          <w:sz w:val="24"/>
          <w:szCs w:val="24"/>
        </w:rPr>
        <w:t>долгосрочного роста институциональных факторов, таких как защищенность прав собственности (</w:t>
      </w: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Besley</w:t>
      </w:r>
      <w:proofErr w:type="spellEnd"/>
      <w:r w:rsidRPr="00C91425">
        <w:rPr>
          <w:rFonts w:ascii="Times New Roman" w:hAnsi="Times New Roman" w:cs="Times New Roman"/>
          <w:sz w:val="24"/>
          <w:szCs w:val="24"/>
        </w:rPr>
        <w:t xml:space="preserve"> 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9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Ghatak</w:t>
      </w:r>
      <w:proofErr w:type="spellEnd"/>
      <w:r w:rsidRPr="00C91425">
        <w:rPr>
          <w:rFonts w:ascii="Times New Roman" w:hAnsi="Times New Roman" w:cs="Times New Roman"/>
          <w:sz w:val="24"/>
          <w:szCs w:val="24"/>
        </w:rPr>
        <w:t xml:space="preserve"> (2010)), высота</w:t>
      </w:r>
      <w:r>
        <w:rPr>
          <w:rFonts w:ascii="Times New Roman" w:hAnsi="Times New Roman" w:cs="Times New Roman"/>
          <w:sz w:val="24"/>
          <w:szCs w:val="24"/>
        </w:rPr>
        <w:t xml:space="preserve"> барьеров входа на рынки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Djankov</w:t>
      </w:r>
      <w:proofErr w:type="spellEnd"/>
      <w:r w:rsidRPr="00621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621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633">
        <w:rPr>
          <w:rFonts w:ascii="Times New Roman" w:hAnsi="Times New Roman" w:cs="Times New Roman"/>
          <w:sz w:val="24"/>
          <w:szCs w:val="24"/>
        </w:rPr>
        <w:t xml:space="preserve"> </w:t>
      </w:r>
      <w:r w:rsidRPr="005C6D36">
        <w:rPr>
          <w:rFonts w:ascii="Times New Roman" w:hAnsi="Times New Roman" w:cs="Times New Roman"/>
          <w:sz w:val="24"/>
          <w:szCs w:val="24"/>
        </w:rPr>
        <w:t>(</w:t>
      </w:r>
      <w:r w:rsidRPr="00621633">
        <w:rPr>
          <w:rFonts w:ascii="Times New Roman" w:hAnsi="Times New Roman" w:cs="Times New Roman"/>
          <w:sz w:val="24"/>
          <w:szCs w:val="24"/>
        </w:rPr>
        <w:t>2002)</w:t>
      </w:r>
      <w:r w:rsidRPr="005C6D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блокирование технологического развития </w:t>
      </w:r>
      <w:r w:rsidRPr="00C361C0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Acemoglu</w:t>
      </w:r>
      <w:proofErr w:type="spellEnd"/>
      <w:r w:rsidRPr="00C3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3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Robinson</w:t>
      </w:r>
      <w:r w:rsidRPr="00C361C0">
        <w:rPr>
          <w:rFonts w:ascii="Times New Roman" w:hAnsi="Times New Roman" w:cs="Times New Roman"/>
          <w:sz w:val="24"/>
          <w:szCs w:val="24"/>
        </w:rPr>
        <w:t xml:space="preserve"> </w:t>
      </w:r>
      <w:r w:rsidRPr="005C6D36">
        <w:rPr>
          <w:rFonts w:ascii="Times New Roman" w:hAnsi="Times New Roman" w:cs="Times New Roman"/>
          <w:sz w:val="24"/>
          <w:szCs w:val="24"/>
        </w:rPr>
        <w:t>(</w:t>
      </w:r>
      <w:r w:rsidRPr="00C361C0">
        <w:rPr>
          <w:rFonts w:ascii="Times New Roman" w:hAnsi="Times New Roman" w:cs="Times New Roman"/>
          <w:sz w:val="24"/>
          <w:szCs w:val="24"/>
        </w:rPr>
        <w:t>2000)</w:t>
      </w:r>
      <w:r w:rsidRPr="005C6D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как правило,</w:t>
      </w:r>
      <w:r w:rsidRPr="00C3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анализируется вне единой теории роста. Тем самым, наша работа дополняет литературу, подчеркивая воздействие на качество институтов ключевых долгосрочных процессов: накопления капитала, структурных изменений (сокращение доли традиционного сектора в ВВП и занятости) и связанных с этим перемен в источниках доходов наиболее обеспеченных слоев населения и неравенстве (см., 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>Piketty</w:t>
      </w:r>
      <w:r w:rsidRPr="00A96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F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Zucman</w:t>
      </w:r>
      <w:proofErr w:type="spellEnd"/>
      <w:r w:rsidRPr="004F7A4D">
        <w:rPr>
          <w:rFonts w:ascii="Times New Roman" w:hAnsi="Times New Roman" w:cs="Times New Roman"/>
          <w:sz w:val="24"/>
          <w:szCs w:val="24"/>
        </w:rPr>
        <w:t xml:space="preserve"> (</w:t>
      </w:r>
      <w:r w:rsidRPr="00A96A9E">
        <w:rPr>
          <w:rFonts w:ascii="Times New Roman" w:hAnsi="Times New Roman" w:cs="Times New Roman"/>
          <w:sz w:val="24"/>
          <w:szCs w:val="24"/>
        </w:rPr>
        <w:t>2014)</w:t>
      </w:r>
      <w:r w:rsidRPr="004F7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Важность данных процессов объясняется тем, что стимулы и возможности различных групп интересов влиять на институциональную среду через лоббирование и прочие политические процессы зависит, во-первых, от их экономических выигрышей/потерь в случае изменений институтов, и, во-вторых, от их сравнительной политической силы. Обе величины меняются в ходе долгосрочных процессов, описанных выше, что учитывается в нашей модели.</w:t>
      </w:r>
    </w:p>
    <w:p w:rsidR="0094665D" w:rsidRDefault="0094665D" w:rsidP="00946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работы указывают на то, что воздействие неравенства в распределении богатства на институты в ходе процесса долгосрочного роста зависит от того, о каком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активе идет речь (капитал или земля) и на какой стадии развития находится экономика (т.е. каков относительный вес традиционного и современного сектора). В частности, на стадии ранней индустриализации (когда совокупный запас капитала невелик) высокое неравенство в распределении земли препятствует возникновению инклюзивных институтов (как и в работе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Galor</w:t>
      </w:r>
      <w:proofErr w:type="spellEnd"/>
      <w:r w:rsidRPr="005C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5C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C6D36">
        <w:rPr>
          <w:rFonts w:ascii="Times New Roman" w:hAnsi="Times New Roman" w:cs="Times New Roman"/>
          <w:sz w:val="24"/>
          <w:szCs w:val="24"/>
        </w:rPr>
        <w:t>. (2009))</w:t>
      </w:r>
      <w:r>
        <w:rPr>
          <w:rFonts w:ascii="Times New Roman" w:hAnsi="Times New Roman" w:cs="Times New Roman"/>
          <w:sz w:val="24"/>
          <w:szCs w:val="24"/>
        </w:rPr>
        <w:t xml:space="preserve">, а высокая концентрация во владении капиталом среди не-землевладельцев, напротив, ускоряет рост. Однако если капитал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концентрирован в руках землевладельцев, то это только законсервирует политику блокирования развития современного сектора, поскольку у зарождающегося класса капиталистов будет недоставать стимулов активно бороться за реформы. На более поздней стадии индустриализации (когда современный сектор составляет существенную часть ВВП) капитал начинает играть все большую роль в активах традиционной элиты, что приводит к смене ее политических предпочтений. В этой ситуации, если существенная часть капитальных активов принадлежит землевладельцам, то конфликт между капиталистами и землевладельцами разрешается быстрее и поддержка индустриализации также идет более гладко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Veselov</w:t>
      </w:r>
      <w:proofErr w:type="spellEnd"/>
      <w:r w:rsidRPr="005C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C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Yarkin</w:t>
      </w:r>
      <w:proofErr w:type="spellEnd"/>
      <w:r w:rsidRPr="005C6D36">
        <w:rPr>
          <w:rFonts w:ascii="Times New Roman" w:hAnsi="Times New Roman" w:cs="Times New Roman"/>
          <w:sz w:val="24"/>
          <w:szCs w:val="24"/>
        </w:rPr>
        <w:t xml:space="preserve"> (2015))</w:t>
      </w:r>
      <w:r>
        <w:rPr>
          <w:rFonts w:ascii="Times New Roman" w:hAnsi="Times New Roman" w:cs="Times New Roman"/>
          <w:sz w:val="24"/>
          <w:szCs w:val="24"/>
        </w:rPr>
        <w:t xml:space="preserve">. В определенный момент, когда доля традиционного сектора в ВВП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становится достаточно мала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конфликт между традиционной элитой и капиталистами исчерпывает себя. </w:t>
      </w:r>
    </w:p>
    <w:p w:rsidR="002F3DE0" w:rsidRDefault="0094665D" w:rsidP="00946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этот же положительный сдвиг в поддержке роста производительности современного сектора приводит и к отрицательным последствиям относительно другой политической переменной, барьеров доступа на рынок новых фирм. Если на стадии индустриализации, когда «на повестке дня» было противостояние землевладельцам и другим противникам индустриализации, капиталисты поддерживали вход новых сторонников, то после окончания интенсивного конфликта господствует экономический интерес, в соответствии с которым наиболее крупные капиталисты заинтересованы в сохранении высокой доходности своих вложений и потому препятствуют входу на рынок новых фирм. Более того, чем выше концентрация капитала, тем выше стимулы крупных капиталистов защищать свои позиции, и тем проще им удержать власть. Таким образом, на ранних стадиях развития концентрация во владении капиталом ускоряла рост, поскольку предоставляла возможности и стимулы узкой группе промышленников лоббировать свои интересы по развитию современного сектора. Однако в дальнейшем, это может привести к негативным последствиям из-за закрепления интересов крупных капиталистов и пересмотра ими своих предпочтений в сторону блокирования входа на рынки новых фирм. </w:t>
      </w:r>
    </w:p>
    <w:p w:rsidR="002F3DE0" w:rsidRDefault="002F3D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65D" w:rsidRPr="00C91425" w:rsidRDefault="002F3DE0" w:rsidP="00946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425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C91425" w:rsidRPr="00C91425" w:rsidRDefault="00C91425" w:rsidP="009466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1425" w:rsidRPr="00C91425" w:rsidRDefault="00C91425" w:rsidP="00C91425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710"/>
        <w:jc w:val="both"/>
        <w:rPr>
          <w:rFonts w:ascii="Times New Roman" w:hAnsi="Times New Roman" w:cs="Times New Roman"/>
          <w:sz w:val="24"/>
          <w:szCs w:val="24"/>
        </w:rPr>
      </w:pPr>
      <w:r w:rsidRPr="00C91425">
        <w:rPr>
          <w:rFonts w:ascii="Times New Roman" w:hAnsi="Times New Roman" w:cs="Times New Roman"/>
          <w:sz w:val="24"/>
          <w:szCs w:val="24"/>
        </w:rPr>
        <w:t xml:space="preserve">Веселов Д. (2015). </w:t>
      </w:r>
      <w:r w:rsidRPr="00C91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Политические режимы, перераспределение и формирование общества открытого доступа. </w:t>
      </w:r>
      <w:r w:rsidRPr="00C914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Экономический журнал ВШЭ, </w:t>
      </w:r>
      <w:r w:rsidRPr="00C91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(4), 576–608.</w:t>
      </w:r>
    </w:p>
    <w:p w:rsidR="002F3DE0" w:rsidRPr="00C91425" w:rsidRDefault="002F3DE0" w:rsidP="00C91425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425">
        <w:rPr>
          <w:rFonts w:ascii="Times New Roman" w:hAnsi="Times New Roman" w:cs="Times New Roman"/>
          <w:sz w:val="24"/>
          <w:szCs w:val="24"/>
          <w:lang w:val="fr-FR"/>
        </w:rPr>
        <w:t xml:space="preserve">Acemoglu, D., Robinson, J.A. (2000a). 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Political Losers as a Barrier to Economic Development. </w:t>
      </w:r>
      <w:r w:rsidRPr="00C91425">
        <w:rPr>
          <w:rFonts w:ascii="Times New Roman" w:hAnsi="Times New Roman" w:cs="Times New Roman"/>
          <w:i/>
          <w:sz w:val="24"/>
          <w:szCs w:val="24"/>
          <w:lang w:val="en-US"/>
        </w:rPr>
        <w:t>American Economic Review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>, 90 (2), 126-130.</w:t>
      </w:r>
    </w:p>
    <w:p w:rsidR="00C91425" w:rsidRPr="00C91425" w:rsidRDefault="00C91425" w:rsidP="00C91425">
      <w:pPr>
        <w:pStyle w:val="a3"/>
        <w:numPr>
          <w:ilvl w:val="0"/>
          <w:numId w:val="1"/>
        </w:numPr>
        <w:shd w:val="clear" w:color="auto" w:fill="FFFFFF"/>
        <w:tabs>
          <w:tab w:val="num" w:pos="284"/>
        </w:tabs>
        <w:spacing w:beforeAutospacing="0" w:after="0" w:afterAutospacing="0" w:line="360" w:lineRule="auto"/>
        <w:ind w:left="284" w:hanging="710"/>
        <w:jc w:val="both"/>
        <w:rPr>
          <w:color w:val="000000"/>
          <w:lang w:val="en-US" w:eastAsia="ru-RU"/>
        </w:rPr>
      </w:pPr>
      <w:proofErr w:type="spellStart"/>
      <w:r w:rsidRPr="00C91425">
        <w:rPr>
          <w:lang w:val="en-US"/>
        </w:rPr>
        <w:t>Besley</w:t>
      </w:r>
      <w:proofErr w:type="spellEnd"/>
      <w:r w:rsidRPr="00C91425">
        <w:rPr>
          <w:lang w:val="en-US"/>
        </w:rPr>
        <w:t xml:space="preserve">, T., </w:t>
      </w:r>
      <w:proofErr w:type="spellStart"/>
      <w:r w:rsidRPr="00C91425">
        <w:rPr>
          <w:lang w:val="en-US"/>
        </w:rPr>
        <w:t>Ghatak</w:t>
      </w:r>
      <w:proofErr w:type="spellEnd"/>
      <w:r w:rsidRPr="00C91425">
        <w:rPr>
          <w:lang w:val="en-US"/>
        </w:rPr>
        <w:t xml:space="preserve">, M. (2010). </w:t>
      </w:r>
      <w:r w:rsidRPr="00C91425">
        <w:rPr>
          <w:iCs/>
          <w:lang w:val="en-US"/>
        </w:rPr>
        <w:t xml:space="preserve">Property rights and economic development. </w:t>
      </w:r>
      <w:r w:rsidRPr="00C91425">
        <w:rPr>
          <w:i/>
          <w:iCs/>
          <w:lang w:val="en-US"/>
        </w:rPr>
        <w:t>Handbook of Development Economics, Elsevier</w:t>
      </w:r>
    </w:p>
    <w:p w:rsidR="00C91425" w:rsidRPr="00C91425" w:rsidRDefault="00C91425" w:rsidP="00C91425">
      <w:pPr>
        <w:pStyle w:val="a3"/>
        <w:numPr>
          <w:ilvl w:val="0"/>
          <w:numId w:val="1"/>
        </w:numPr>
        <w:shd w:val="clear" w:color="auto" w:fill="FFFFFF"/>
        <w:tabs>
          <w:tab w:val="num" w:pos="284"/>
        </w:tabs>
        <w:spacing w:beforeAutospacing="0" w:after="0" w:afterAutospacing="0" w:line="360" w:lineRule="auto"/>
        <w:ind w:left="284" w:hanging="710"/>
        <w:jc w:val="both"/>
        <w:rPr>
          <w:color w:val="000000"/>
          <w:lang w:val="en-US" w:eastAsia="ru-RU"/>
        </w:rPr>
      </w:pPr>
      <w:r w:rsidRPr="00C91425">
        <w:rPr>
          <w:color w:val="000000"/>
          <w:shd w:val="clear" w:color="auto" w:fill="FFFFFF"/>
          <w:lang w:val="fr-FR"/>
        </w:rPr>
        <w:t>Djankov, S., La Porta, R., Lopez-de-Silanes, F., &amp; Shleifer, A. (2002).</w:t>
      </w:r>
      <w:r w:rsidRPr="00C91425">
        <w:rPr>
          <w:rStyle w:val="apple-converted-space"/>
          <w:color w:val="000000"/>
          <w:shd w:val="clear" w:color="auto" w:fill="FFFFFF"/>
          <w:lang w:val="fr-FR"/>
        </w:rPr>
        <w:t> </w:t>
      </w:r>
      <w:r w:rsidRPr="00C91425">
        <w:rPr>
          <w:i/>
          <w:iCs/>
          <w:color w:val="000000"/>
          <w:shd w:val="clear" w:color="auto" w:fill="FFFFFF"/>
          <w:lang w:val="en-US"/>
        </w:rPr>
        <w:t>The regulation of entry</w:t>
      </w:r>
      <w:r w:rsidRPr="00C91425">
        <w:rPr>
          <w:iCs/>
          <w:color w:val="000000"/>
          <w:shd w:val="clear" w:color="auto" w:fill="FFFFFF"/>
          <w:lang w:val="en-US"/>
        </w:rPr>
        <w:t xml:space="preserve">. </w:t>
      </w:r>
      <w:r w:rsidRPr="00C91425">
        <w:rPr>
          <w:i/>
          <w:iCs/>
          <w:color w:val="000000"/>
          <w:shd w:val="clear" w:color="auto" w:fill="FFFFFF"/>
          <w:lang w:val="en-US"/>
        </w:rPr>
        <w:t xml:space="preserve">Quarterly Journal of Economics, </w:t>
      </w:r>
      <w:r w:rsidRPr="00C91425">
        <w:rPr>
          <w:iCs/>
          <w:color w:val="000000"/>
          <w:shd w:val="clear" w:color="auto" w:fill="FFFFFF"/>
          <w:lang w:val="en-US"/>
        </w:rPr>
        <w:t>117 (1), 1-37.</w:t>
      </w:r>
    </w:p>
    <w:p w:rsidR="00C91425" w:rsidRPr="00C91425" w:rsidRDefault="00C91425" w:rsidP="00C91425">
      <w:pPr>
        <w:widowControl w:val="0"/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710"/>
        <w:jc w:val="both"/>
        <w:rPr>
          <w:rStyle w:val="vol"/>
          <w:rFonts w:ascii="Times New Roman" w:hAnsi="Times New Roman" w:cs="Times New Roman"/>
          <w:sz w:val="24"/>
          <w:szCs w:val="24"/>
          <w:lang w:val="en-US"/>
        </w:rPr>
      </w:pPr>
      <w:r w:rsidRPr="00C91425">
        <w:rPr>
          <w:rStyle w:val="author"/>
          <w:rFonts w:ascii="Times New Roman" w:hAnsi="Times New Roman" w:cs="Times New Roman"/>
          <w:iCs/>
          <w:sz w:val="24"/>
          <w:szCs w:val="24"/>
          <w:lang w:val="en-US"/>
        </w:rPr>
        <w:t xml:space="preserve">Sokoloff, Kenneth L. and Stanley L. </w:t>
      </w:r>
      <w:proofErr w:type="spellStart"/>
      <w:r w:rsidRPr="00C91425">
        <w:rPr>
          <w:rStyle w:val="author"/>
          <w:rFonts w:ascii="Times New Roman" w:hAnsi="Times New Roman" w:cs="Times New Roman"/>
          <w:iCs/>
          <w:sz w:val="24"/>
          <w:szCs w:val="24"/>
          <w:lang w:val="en-US"/>
        </w:rPr>
        <w:t>Engerman</w:t>
      </w:r>
      <w:proofErr w:type="spellEnd"/>
      <w:r w:rsidRPr="00C91425">
        <w:rPr>
          <w:rStyle w:val="author"/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C91425">
        <w:rPr>
          <w:rStyle w:val="year"/>
          <w:rFonts w:ascii="Times New Roman" w:hAnsi="Times New Roman" w:cs="Times New Roman"/>
          <w:iCs/>
          <w:sz w:val="24"/>
          <w:szCs w:val="24"/>
          <w:lang w:val="en-US"/>
        </w:rPr>
        <w:t>2000.</w:t>
      </w:r>
      <w:r w:rsidRPr="00C91425">
        <w:rPr>
          <w:rStyle w:val="HTML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425">
        <w:rPr>
          <w:rStyle w:val="title"/>
          <w:rFonts w:ascii="Times New Roman" w:hAnsi="Times New Roman" w:cs="Times New Roman"/>
          <w:iCs/>
          <w:sz w:val="24"/>
          <w:szCs w:val="24"/>
          <w:lang w:val="en-US"/>
        </w:rPr>
        <w:t>"Institutions, Factor Endowments, and Paths of Development in the New World."</w:t>
      </w:r>
      <w:r w:rsidRPr="00C91425">
        <w:rPr>
          <w:rStyle w:val="HTML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1425">
        <w:rPr>
          <w:rStyle w:val="journal"/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C91425">
        <w:rPr>
          <w:rStyle w:val="journal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1425">
        <w:rPr>
          <w:rStyle w:val="journal"/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91425">
        <w:rPr>
          <w:rStyle w:val="journal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1425">
        <w:rPr>
          <w:rStyle w:val="journal"/>
          <w:rFonts w:ascii="Times New Roman" w:hAnsi="Times New Roman" w:cs="Times New Roman"/>
          <w:i/>
          <w:iCs/>
          <w:sz w:val="24"/>
          <w:szCs w:val="24"/>
        </w:rPr>
        <w:t>Economic</w:t>
      </w:r>
      <w:proofErr w:type="spellEnd"/>
      <w:r w:rsidRPr="00C91425">
        <w:rPr>
          <w:rStyle w:val="journal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1425">
        <w:rPr>
          <w:rStyle w:val="journal"/>
          <w:rFonts w:ascii="Times New Roman" w:hAnsi="Times New Roman" w:cs="Times New Roman"/>
          <w:i/>
          <w:iCs/>
          <w:sz w:val="24"/>
          <w:szCs w:val="24"/>
        </w:rPr>
        <w:t>Perspectives</w:t>
      </w:r>
      <w:proofErr w:type="spellEnd"/>
      <w:r w:rsidRPr="00C91425">
        <w:rPr>
          <w:rStyle w:val="HTML"/>
          <w:rFonts w:ascii="Times New Roman" w:hAnsi="Times New Roman" w:cs="Times New Roman"/>
          <w:sz w:val="24"/>
          <w:szCs w:val="24"/>
        </w:rPr>
        <w:t xml:space="preserve">, </w:t>
      </w:r>
      <w:r w:rsidRPr="00C91425">
        <w:rPr>
          <w:rStyle w:val="vol"/>
          <w:rFonts w:ascii="Times New Roman" w:hAnsi="Times New Roman" w:cs="Times New Roman"/>
          <w:iCs/>
          <w:sz w:val="24"/>
          <w:szCs w:val="24"/>
        </w:rPr>
        <w:t>14(3): 217-232</w:t>
      </w:r>
      <w:r w:rsidRPr="00C91425">
        <w:rPr>
          <w:rStyle w:val="pages"/>
          <w:rFonts w:ascii="Times New Roman" w:hAnsi="Times New Roman" w:cs="Times New Roman"/>
          <w:iCs/>
          <w:sz w:val="24"/>
          <w:szCs w:val="24"/>
        </w:rPr>
        <w:t>.</w:t>
      </w:r>
      <w:r w:rsidRPr="00C91425">
        <w:rPr>
          <w:rStyle w:val="vol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F3DE0" w:rsidRPr="00C91425" w:rsidRDefault="002F3DE0" w:rsidP="00C91425">
      <w:pPr>
        <w:widowControl w:val="0"/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Galor</w:t>
      </w:r>
      <w:proofErr w:type="spellEnd"/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, O., </w:t>
      </w: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Moav</w:t>
      </w:r>
      <w:proofErr w:type="spellEnd"/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, O. (2004). From Physical to Human Capital Accumulation: Inequality and the Process of Development. </w:t>
      </w:r>
      <w:r w:rsidRPr="00C91425">
        <w:rPr>
          <w:rFonts w:ascii="Times New Roman" w:hAnsi="Times New Roman" w:cs="Times New Roman"/>
          <w:i/>
          <w:sz w:val="24"/>
          <w:szCs w:val="24"/>
          <w:lang w:val="en-US"/>
        </w:rPr>
        <w:t>The Review of Economic Studies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>, 71 (4), 1001-1026.</w:t>
      </w:r>
    </w:p>
    <w:p w:rsidR="00C91425" w:rsidRPr="00C91425" w:rsidRDefault="002F3DE0" w:rsidP="00C91425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Galor</w:t>
      </w:r>
      <w:proofErr w:type="spellEnd"/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, O., </w:t>
      </w: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Moav</w:t>
      </w:r>
      <w:proofErr w:type="spellEnd"/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, O., </w:t>
      </w: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Vollrath</w:t>
      </w:r>
      <w:proofErr w:type="spellEnd"/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, D. (2009) Inequality in Landownership, the Emergence of Human-Capital Promoting Institutions, and the Great Divergence. </w:t>
      </w:r>
      <w:r w:rsidRPr="00C9142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Review of Economic Studies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>, 76 (1), 143-179.</w:t>
      </w:r>
    </w:p>
    <w:p w:rsidR="00C91425" w:rsidRPr="00C91425" w:rsidRDefault="002F3DE0" w:rsidP="00C91425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Mokyr, J., Nye, J. V. C. (2007). Distributional coalitions, the industrial revolution, and the origins of economic growth in Britain.</w:t>
      </w:r>
      <w:r w:rsidRPr="00C9142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Southern</w:t>
      </w:r>
      <w:proofErr w:type="spellEnd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C9142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74</w:t>
      </w:r>
      <w:r w:rsidRPr="00C91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(1), 50-70.</w:t>
      </w:r>
    </w:p>
    <w:p w:rsidR="002F3DE0" w:rsidRPr="00C91425" w:rsidRDefault="002F3DE0" w:rsidP="00C91425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North, D., </w:t>
      </w: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Weingast</w:t>
      </w:r>
      <w:proofErr w:type="spellEnd"/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, B. (1989). Constitutions and commitment: The evolution of institutions governing public choice in seventeenth-century England. </w:t>
      </w:r>
      <w:r w:rsidRPr="00C91425">
        <w:rPr>
          <w:rFonts w:ascii="Times New Roman" w:hAnsi="Times New Roman" w:cs="Times New Roman"/>
          <w:i/>
          <w:sz w:val="24"/>
          <w:szCs w:val="24"/>
          <w:lang w:val="en-US"/>
        </w:rPr>
        <w:t>Journal of Economic History,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 49(4), 803-832.</w:t>
      </w:r>
    </w:p>
    <w:p w:rsidR="00C91425" w:rsidRPr="00C91425" w:rsidRDefault="00C91425" w:rsidP="00C91425">
      <w:pPr>
        <w:pStyle w:val="2"/>
        <w:numPr>
          <w:ilvl w:val="0"/>
          <w:numId w:val="1"/>
        </w:numPr>
        <w:tabs>
          <w:tab w:val="num" w:pos="284"/>
        </w:tabs>
        <w:spacing w:before="0" w:beforeAutospacing="0" w:after="0" w:afterAutospacing="0" w:line="360" w:lineRule="auto"/>
        <w:ind w:left="284" w:hanging="710"/>
        <w:jc w:val="both"/>
        <w:rPr>
          <w:b w:val="0"/>
          <w:bCs w:val="0"/>
          <w:sz w:val="24"/>
          <w:szCs w:val="24"/>
          <w:lang w:val="en-US"/>
        </w:rPr>
      </w:pPr>
      <w:proofErr w:type="spellStart"/>
      <w:r w:rsidRPr="00C91425">
        <w:rPr>
          <w:b w:val="0"/>
          <w:color w:val="000000"/>
          <w:sz w:val="24"/>
          <w:szCs w:val="24"/>
          <w:shd w:val="clear" w:color="auto" w:fill="FFFFFF"/>
          <w:lang w:val="en-US"/>
        </w:rPr>
        <w:t>Parente</w:t>
      </w:r>
      <w:proofErr w:type="spellEnd"/>
      <w:r w:rsidRPr="00C91425">
        <w:rPr>
          <w:b w:val="0"/>
          <w:color w:val="000000"/>
          <w:sz w:val="24"/>
          <w:szCs w:val="24"/>
          <w:shd w:val="clear" w:color="auto" w:fill="FFFFFF"/>
          <w:lang w:val="en-US"/>
        </w:rPr>
        <w:t xml:space="preserve">, S. L., Prescott, E. C. (1994). </w:t>
      </w:r>
      <w:proofErr w:type="gramStart"/>
      <w:r w:rsidRPr="00C91425">
        <w:rPr>
          <w:b w:val="0"/>
          <w:color w:val="000000"/>
          <w:sz w:val="24"/>
          <w:szCs w:val="24"/>
          <w:shd w:val="clear" w:color="auto" w:fill="FFFFFF"/>
          <w:lang w:val="en-US"/>
        </w:rPr>
        <w:t>Barriers to technology adoption and development.</w:t>
      </w:r>
      <w:proofErr w:type="gramEnd"/>
      <w:r w:rsidRPr="00C91425">
        <w:rPr>
          <w:rStyle w:val="apple-converted-space"/>
          <w:b w:val="0"/>
          <w:i/>
          <w:iCs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C91425">
        <w:rPr>
          <w:b w:val="0"/>
          <w:i/>
          <w:iCs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C91425">
        <w:rPr>
          <w:b w:val="0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1425">
        <w:rPr>
          <w:b w:val="0"/>
          <w:i/>
          <w:iCs/>
          <w:color w:val="000000"/>
          <w:sz w:val="24"/>
          <w:szCs w:val="24"/>
          <w:shd w:val="clear" w:color="auto" w:fill="FFFFFF"/>
        </w:rPr>
        <w:t>of</w:t>
      </w:r>
      <w:proofErr w:type="spellEnd"/>
      <w:r w:rsidRPr="00C91425">
        <w:rPr>
          <w:b w:val="0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1425">
        <w:rPr>
          <w:b w:val="0"/>
          <w:i/>
          <w:iCs/>
          <w:color w:val="000000"/>
          <w:sz w:val="24"/>
          <w:szCs w:val="24"/>
          <w:shd w:val="clear" w:color="auto" w:fill="FFFFFF"/>
        </w:rPr>
        <w:t>Political</w:t>
      </w:r>
      <w:proofErr w:type="spellEnd"/>
      <w:r w:rsidRPr="00C91425">
        <w:rPr>
          <w:b w:val="0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1425">
        <w:rPr>
          <w:b w:val="0"/>
          <w:i/>
          <w:iCs/>
          <w:color w:val="000000"/>
          <w:sz w:val="24"/>
          <w:szCs w:val="24"/>
          <w:shd w:val="clear" w:color="auto" w:fill="FFFFFF"/>
        </w:rPr>
        <w:t>Economy</w:t>
      </w:r>
      <w:proofErr w:type="spellEnd"/>
      <w:r w:rsidRPr="00C91425">
        <w:rPr>
          <w:b w:val="0"/>
          <w:i/>
          <w:iCs/>
          <w:color w:val="000000"/>
          <w:sz w:val="24"/>
          <w:szCs w:val="24"/>
          <w:shd w:val="clear" w:color="auto" w:fill="FFFFFF"/>
        </w:rPr>
        <w:t>,</w:t>
      </w:r>
      <w:r w:rsidRPr="00C91425">
        <w:rPr>
          <w:rStyle w:val="apple-converted-space"/>
          <w:b w:val="0"/>
          <w:i/>
          <w:iCs/>
          <w:color w:val="000000"/>
          <w:sz w:val="24"/>
          <w:szCs w:val="24"/>
          <w:shd w:val="clear" w:color="auto" w:fill="FFFFFF"/>
        </w:rPr>
        <w:t> </w:t>
      </w:r>
      <w:r w:rsidRPr="00C91425">
        <w:rPr>
          <w:b w:val="0"/>
          <w:i/>
          <w:iCs/>
          <w:color w:val="000000"/>
          <w:sz w:val="24"/>
          <w:szCs w:val="24"/>
          <w:shd w:val="clear" w:color="auto" w:fill="FFFFFF"/>
        </w:rPr>
        <w:t>102</w:t>
      </w:r>
      <w:r w:rsidRPr="00C91425">
        <w:rPr>
          <w:b w:val="0"/>
          <w:color w:val="000000"/>
          <w:sz w:val="24"/>
          <w:szCs w:val="24"/>
          <w:shd w:val="clear" w:color="auto" w:fill="FFFFFF"/>
        </w:rPr>
        <w:t>(2), 298-321</w:t>
      </w:r>
      <w:r w:rsidRPr="00C91425">
        <w:rPr>
          <w:b w:val="0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2F3DE0" w:rsidRPr="00C91425" w:rsidRDefault="002F3DE0" w:rsidP="00C91425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4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Piketty, T., &amp; </w:t>
      </w:r>
      <w:proofErr w:type="spellStart"/>
      <w:r w:rsidRPr="00C91425">
        <w:rPr>
          <w:rFonts w:ascii="Times New Roman" w:hAnsi="Times New Roman" w:cs="Times New Roman"/>
          <w:color w:val="000000"/>
          <w:sz w:val="24"/>
          <w:szCs w:val="24"/>
          <w:lang w:val="en-US"/>
        </w:rPr>
        <w:t>Zucman</w:t>
      </w:r>
      <w:proofErr w:type="spellEnd"/>
      <w:r w:rsidRPr="00C91425">
        <w:rPr>
          <w:rFonts w:ascii="Times New Roman" w:hAnsi="Times New Roman" w:cs="Times New Roman"/>
          <w:color w:val="000000"/>
          <w:sz w:val="24"/>
          <w:szCs w:val="24"/>
          <w:lang w:val="en-US"/>
        </w:rPr>
        <w:t>, G. (2014). Capital is back: Wealth-income ratios in rich countries 1700-2010.</w:t>
      </w:r>
      <w:r w:rsidRPr="00C9142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proofErr w:type="spellStart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Quarterly</w:t>
      </w:r>
      <w:proofErr w:type="spellEnd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Economics</w:t>
      </w:r>
      <w:proofErr w:type="spellEnd"/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C9142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914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129</w:t>
      </w:r>
      <w:r w:rsidRPr="00C91425">
        <w:rPr>
          <w:rFonts w:ascii="Times New Roman" w:hAnsi="Times New Roman" w:cs="Times New Roman"/>
          <w:color w:val="000000"/>
          <w:sz w:val="24"/>
          <w:szCs w:val="24"/>
        </w:rPr>
        <w:t>(3), 1255-1310.</w:t>
      </w:r>
    </w:p>
    <w:p w:rsidR="00C91425" w:rsidRPr="00C91425" w:rsidRDefault="00C91425" w:rsidP="00C91425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Sonin</w:t>
      </w:r>
      <w:proofErr w:type="spellEnd"/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 K. (2003). Why Rich May Favor Poor Protection of Property Rights. </w:t>
      </w:r>
      <w:r w:rsidRPr="00C914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Journal of comparative economics,</w:t>
      </w:r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 31, 715–731.</w:t>
      </w:r>
    </w:p>
    <w:p w:rsidR="002F3DE0" w:rsidRPr="00C91425" w:rsidRDefault="002F3DE0" w:rsidP="00C91425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Veselov</w:t>
      </w:r>
      <w:proofErr w:type="spellEnd"/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C91425">
        <w:rPr>
          <w:rFonts w:ascii="Times New Roman" w:hAnsi="Times New Roman" w:cs="Times New Roman"/>
          <w:sz w:val="24"/>
          <w:szCs w:val="24"/>
          <w:lang w:val="en-US"/>
        </w:rPr>
        <w:t>Yarkin</w:t>
      </w:r>
      <w:proofErr w:type="spellEnd"/>
      <w:r w:rsidRPr="00C91425">
        <w:rPr>
          <w:rFonts w:ascii="Times New Roman" w:hAnsi="Times New Roman" w:cs="Times New Roman"/>
          <w:sz w:val="24"/>
          <w:szCs w:val="24"/>
          <w:lang w:val="en-US"/>
        </w:rPr>
        <w:t xml:space="preserve"> A. (2015). “The Great Divergence revisited: industrialization, inequality and political conflict in the unified growth model”. </w:t>
      </w:r>
      <w:r w:rsidRPr="00C91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NRU Higher School of Economics. WP Series EC "Economics". 2015. No. 118.</w:t>
      </w:r>
    </w:p>
    <w:p w:rsidR="002F3DE0" w:rsidRPr="00C91425" w:rsidRDefault="002F3DE0" w:rsidP="00C91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06AE" w:rsidRDefault="002843A7" w:rsidP="00C91425">
      <w:pPr>
        <w:rPr>
          <w:lang w:val="fr-FR"/>
        </w:rPr>
      </w:pPr>
    </w:p>
    <w:sectPr w:rsidR="007B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277C5"/>
    <w:multiLevelType w:val="hybridMultilevel"/>
    <w:tmpl w:val="9C7CC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5D"/>
    <w:rsid w:val="002843A7"/>
    <w:rsid w:val="002F3DE0"/>
    <w:rsid w:val="004B2FE7"/>
    <w:rsid w:val="00542251"/>
    <w:rsid w:val="0094665D"/>
    <w:rsid w:val="00C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5D"/>
    <w:pPr>
      <w:spacing w:after="160" w:line="259" w:lineRule="auto"/>
    </w:pPr>
  </w:style>
  <w:style w:type="paragraph" w:styleId="2">
    <w:name w:val="heading 2"/>
    <w:basedOn w:val="a"/>
    <w:link w:val="20"/>
    <w:unhideWhenUsed/>
    <w:qFormat/>
    <w:rsid w:val="002F3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3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3DE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ld">
    <w:name w:val="bold"/>
    <w:basedOn w:val="a0"/>
    <w:rsid w:val="002F3DE0"/>
  </w:style>
  <w:style w:type="character" w:customStyle="1" w:styleId="apple-converted-space">
    <w:name w:val="apple-converted-space"/>
    <w:rsid w:val="002F3DE0"/>
  </w:style>
  <w:style w:type="character" w:styleId="HTML">
    <w:name w:val="HTML Cite"/>
    <w:basedOn w:val="a0"/>
    <w:uiPriority w:val="99"/>
    <w:semiHidden/>
    <w:unhideWhenUsed/>
    <w:rsid w:val="00C91425"/>
    <w:rPr>
      <w:i/>
      <w:iCs/>
    </w:rPr>
  </w:style>
  <w:style w:type="character" w:customStyle="1" w:styleId="author">
    <w:name w:val="author"/>
    <w:basedOn w:val="a0"/>
    <w:rsid w:val="00C91425"/>
  </w:style>
  <w:style w:type="character" w:customStyle="1" w:styleId="year">
    <w:name w:val="year"/>
    <w:basedOn w:val="a0"/>
    <w:rsid w:val="00C91425"/>
  </w:style>
  <w:style w:type="character" w:customStyle="1" w:styleId="title">
    <w:name w:val="title"/>
    <w:basedOn w:val="a0"/>
    <w:rsid w:val="00C91425"/>
  </w:style>
  <w:style w:type="character" w:customStyle="1" w:styleId="journal">
    <w:name w:val="journal"/>
    <w:basedOn w:val="a0"/>
    <w:rsid w:val="00C91425"/>
  </w:style>
  <w:style w:type="character" w:customStyle="1" w:styleId="vol">
    <w:name w:val="vol"/>
    <w:basedOn w:val="a0"/>
    <w:rsid w:val="00C91425"/>
  </w:style>
  <w:style w:type="character" w:customStyle="1" w:styleId="pages">
    <w:name w:val="pages"/>
    <w:basedOn w:val="a0"/>
    <w:rsid w:val="00C9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5D"/>
    <w:pPr>
      <w:spacing w:after="160" w:line="259" w:lineRule="auto"/>
    </w:pPr>
  </w:style>
  <w:style w:type="paragraph" w:styleId="2">
    <w:name w:val="heading 2"/>
    <w:basedOn w:val="a"/>
    <w:link w:val="20"/>
    <w:unhideWhenUsed/>
    <w:qFormat/>
    <w:rsid w:val="002F3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3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3DE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ld">
    <w:name w:val="bold"/>
    <w:basedOn w:val="a0"/>
    <w:rsid w:val="002F3DE0"/>
  </w:style>
  <w:style w:type="character" w:customStyle="1" w:styleId="apple-converted-space">
    <w:name w:val="apple-converted-space"/>
    <w:rsid w:val="002F3DE0"/>
  </w:style>
  <w:style w:type="character" w:styleId="HTML">
    <w:name w:val="HTML Cite"/>
    <w:basedOn w:val="a0"/>
    <w:uiPriority w:val="99"/>
    <w:semiHidden/>
    <w:unhideWhenUsed/>
    <w:rsid w:val="00C91425"/>
    <w:rPr>
      <w:i/>
      <w:iCs/>
    </w:rPr>
  </w:style>
  <w:style w:type="character" w:customStyle="1" w:styleId="author">
    <w:name w:val="author"/>
    <w:basedOn w:val="a0"/>
    <w:rsid w:val="00C91425"/>
  </w:style>
  <w:style w:type="character" w:customStyle="1" w:styleId="year">
    <w:name w:val="year"/>
    <w:basedOn w:val="a0"/>
    <w:rsid w:val="00C91425"/>
  </w:style>
  <w:style w:type="character" w:customStyle="1" w:styleId="title">
    <w:name w:val="title"/>
    <w:basedOn w:val="a0"/>
    <w:rsid w:val="00C91425"/>
  </w:style>
  <w:style w:type="character" w:customStyle="1" w:styleId="journal">
    <w:name w:val="journal"/>
    <w:basedOn w:val="a0"/>
    <w:rsid w:val="00C91425"/>
  </w:style>
  <w:style w:type="character" w:customStyle="1" w:styleId="vol">
    <w:name w:val="vol"/>
    <w:basedOn w:val="a0"/>
    <w:rsid w:val="00C91425"/>
  </w:style>
  <w:style w:type="character" w:customStyle="1" w:styleId="pages">
    <w:name w:val="pages"/>
    <w:basedOn w:val="a0"/>
    <w:rsid w:val="00C9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8566</Characters>
  <Application>Microsoft Office Word</Application>
  <DocSecurity>0</DocSecurity>
  <Lines>131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2016-11-13T19:17:00Z</dcterms:created>
  <dcterms:modified xsi:type="dcterms:W3CDTF">2016-11-13T19:17:00Z</dcterms:modified>
</cp:coreProperties>
</file>