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F1556C" w:rsidRPr="00DB15FE" w:rsidRDefault="003F75D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F1556C" w:rsidRPr="00DB15FE">
        <w:rPr>
          <w:color w:val="000000" w:themeColor="text1"/>
          <w:sz w:val="24"/>
          <w:szCs w:val="24"/>
        </w:rPr>
        <w:t xml:space="preserve">38.06.01 </w:t>
      </w:r>
      <w:r w:rsidR="00F1556C">
        <w:rPr>
          <w:color w:val="000000" w:themeColor="text1"/>
          <w:sz w:val="24"/>
          <w:szCs w:val="24"/>
        </w:rPr>
        <w:t>«</w:t>
      </w:r>
      <w:r w:rsidR="00F1556C" w:rsidRPr="00DB15FE">
        <w:rPr>
          <w:color w:val="000000" w:themeColor="text1"/>
          <w:sz w:val="24"/>
          <w:szCs w:val="24"/>
        </w:rPr>
        <w:t>Экономика</w:t>
      </w:r>
      <w:r w:rsidR="00F1556C">
        <w:rPr>
          <w:color w:val="000000" w:themeColor="text1"/>
          <w:sz w:val="24"/>
          <w:szCs w:val="24"/>
        </w:rPr>
        <w:t>»</w:t>
      </w:r>
      <w:r w:rsidR="00F1556C" w:rsidRPr="00DB15FE">
        <w:rPr>
          <w:color w:val="000000" w:themeColor="text1"/>
          <w:sz w:val="24"/>
          <w:szCs w:val="24"/>
        </w:rPr>
        <w:t xml:space="preserve">, </w:t>
      </w:r>
    </w:p>
    <w:p w:rsidR="00F1556C" w:rsidRPr="00DB15FE" w:rsidRDefault="00F1556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«Экономика»</w:t>
      </w:r>
    </w:p>
    <w:p w:rsidR="00084912" w:rsidRPr="0010104C" w:rsidRDefault="00084912" w:rsidP="00F1556C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2E57CA" w:rsidRDefault="00084912" w:rsidP="00084912">
      <w:pPr>
        <w:ind w:left="709" w:firstLine="0"/>
      </w:pPr>
      <w:r w:rsidRPr="002E57CA">
        <w:t xml:space="preserve">Авторы программы: </w:t>
      </w:r>
    </w:p>
    <w:p w:rsidR="00084912" w:rsidRPr="002E57CA" w:rsidRDefault="00084912" w:rsidP="00084912">
      <w:pPr>
        <w:ind w:left="709" w:firstLine="0"/>
        <w:rPr>
          <w:i/>
        </w:rPr>
      </w:pPr>
      <w:r w:rsidRPr="002E57CA">
        <w:rPr>
          <w:i/>
        </w:rPr>
        <w:t xml:space="preserve">Сидоркин А.М., </w:t>
      </w:r>
      <w:hyperlink r:id="rId8" w:history="1">
        <w:r w:rsidRPr="002E57CA">
          <w:rPr>
            <w:rStyle w:val="ad"/>
            <w:i/>
            <w:color w:val="auto"/>
            <w:szCs w:val="24"/>
            <w:lang w:val="en-US"/>
          </w:rPr>
          <w:t>asidorkin</w:t>
        </w:r>
        <w:r w:rsidRPr="002E57CA">
          <w:rPr>
            <w:rStyle w:val="ad"/>
            <w:i/>
            <w:color w:val="auto"/>
            <w:szCs w:val="24"/>
          </w:rPr>
          <w:t>@</w:t>
        </w:r>
        <w:r w:rsidRPr="002E57CA">
          <w:rPr>
            <w:rStyle w:val="ad"/>
            <w:i/>
            <w:color w:val="auto"/>
            <w:szCs w:val="24"/>
            <w:lang w:val="en-US"/>
          </w:rPr>
          <w:t>hse</w:t>
        </w:r>
        <w:r w:rsidRPr="002E57CA">
          <w:rPr>
            <w:rStyle w:val="ad"/>
            <w:i/>
            <w:color w:val="auto"/>
            <w:szCs w:val="24"/>
          </w:rPr>
          <w:t>.</w:t>
        </w:r>
        <w:proofErr w:type="spellStart"/>
        <w:r w:rsidRPr="002E57CA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2E57CA">
        <w:rPr>
          <w:i/>
          <w:szCs w:val="24"/>
        </w:rPr>
        <w:t xml:space="preserve"> </w:t>
      </w:r>
    </w:p>
    <w:p w:rsidR="00F1556C" w:rsidRPr="002E57CA" w:rsidRDefault="00F1556C" w:rsidP="00F1556C">
      <w:pPr>
        <w:ind w:left="709" w:firstLine="0"/>
        <w:rPr>
          <w:i/>
          <w:szCs w:val="24"/>
        </w:rPr>
      </w:pPr>
      <w:r w:rsidRPr="002E57CA">
        <w:rPr>
          <w:i/>
          <w:szCs w:val="24"/>
        </w:rPr>
        <w:t xml:space="preserve">Демидова О.А., </w:t>
      </w:r>
      <w:hyperlink r:id="rId9" w:history="1">
        <w:r w:rsidRPr="002E57CA">
          <w:rPr>
            <w:rStyle w:val="ad"/>
            <w:i/>
            <w:color w:val="auto"/>
            <w:szCs w:val="24"/>
          </w:rPr>
          <w:t>demidova@hse.ru</w:t>
        </w:r>
      </w:hyperlink>
      <w:r w:rsidRPr="002E57CA">
        <w:rPr>
          <w:i/>
          <w:szCs w:val="24"/>
        </w:rPr>
        <w:t xml:space="preserve"> </w:t>
      </w:r>
    </w:p>
    <w:p w:rsidR="00084912" w:rsidRPr="00CF13F6" w:rsidRDefault="00084912" w:rsidP="00084912">
      <w:pPr>
        <w:spacing w:line="276" w:lineRule="auto"/>
        <w:rPr>
          <w:szCs w:val="24"/>
        </w:rPr>
      </w:pPr>
    </w:p>
    <w:p w:rsidR="00F1556C" w:rsidRPr="00CF13F6" w:rsidRDefault="00F1556C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F1556C" w:rsidRPr="00DB15FE" w:rsidRDefault="00F1556C" w:rsidP="00F1556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DB15FE">
        <w:rPr>
          <w:color w:val="000000" w:themeColor="text1"/>
          <w:szCs w:val="24"/>
        </w:rPr>
        <w:t>Согласована</w:t>
      </w:r>
      <w:proofErr w:type="gramEnd"/>
      <w:r w:rsidRPr="00DB15FE">
        <w:rPr>
          <w:color w:val="000000" w:themeColor="text1"/>
          <w:szCs w:val="24"/>
        </w:rPr>
        <w:t xml:space="preserve"> Академическим советом аспирантской школы по экономике </w:t>
      </w:r>
    </w:p>
    <w:p w:rsidR="00F1556C" w:rsidRPr="00CF13F6" w:rsidRDefault="00F1556C" w:rsidP="00F1556C">
      <w:pPr>
        <w:spacing w:line="276" w:lineRule="auto"/>
        <w:ind w:left="851" w:firstLine="0"/>
        <w:rPr>
          <w:szCs w:val="24"/>
        </w:rPr>
      </w:pPr>
      <w:r w:rsidRPr="00CF13F6">
        <w:rPr>
          <w:szCs w:val="24"/>
        </w:rPr>
        <w:t xml:space="preserve">«26» сентября 2017 г., </w:t>
      </w:r>
      <w:r w:rsidR="00E4479E">
        <w:rPr>
          <w:szCs w:val="24"/>
        </w:rPr>
        <w:t>протокол №</w:t>
      </w:r>
      <w:r w:rsidRPr="00CF13F6">
        <w:rPr>
          <w:szCs w:val="24"/>
        </w:rPr>
        <w:t>39</w:t>
      </w:r>
    </w:p>
    <w:p w:rsidR="00DA29B2" w:rsidRDefault="00DA29B2" w:rsidP="00126AD0">
      <w:pPr>
        <w:ind w:firstLine="0"/>
      </w:pPr>
      <w:bookmarkStart w:id="0" w:name="_GoBack"/>
      <w:bookmarkEnd w:id="0"/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02074C">
        <w:t>7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F1556C" w:rsidRPr="00F1556C">
        <w:rPr>
          <w:rFonts w:ascii="Times New Roman" w:hAnsi="Times New Roman"/>
          <w:sz w:val="24"/>
          <w:szCs w:val="24"/>
        </w:rPr>
        <w:t xml:space="preserve">38.06.01 «Экономика» </w:t>
      </w:r>
      <w:r w:rsidR="00B366D4" w:rsidRPr="00F1556C">
        <w:rPr>
          <w:rFonts w:ascii="Times New Roman" w:hAnsi="Times New Roman"/>
          <w:sz w:val="24"/>
          <w:szCs w:val="24"/>
        </w:rPr>
        <w:t>(ОС НИУ ВШЭ)</w:t>
      </w:r>
      <w:r w:rsidRPr="00F1556C">
        <w:rPr>
          <w:rFonts w:ascii="Times New Roman" w:hAnsi="Times New Roman"/>
          <w:sz w:val="24"/>
          <w:szCs w:val="24"/>
        </w:rPr>
        <w:t xml:space="preserve">. </w:t>
      </w:r>
    </w:p>
    <w:p w:rsidR="00CC050D" w:rsidRPr="0010104C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</w:t>
      </w:r>
      <w:r w:rsidRPr="00F1556C">
        <w:rPr>
          <w:rFonts w:ascii="Times New Roman" w:hAnsi="Times New Roman"/>
          <w:sz w:val="24"/>
          <w:szCs w:val="24"/>
        </w:rPr>
        <w:t xml:space="preserve">направления 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</w:rPr>
        <w:t>38.06.01 «Экономика»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>н</w:t>
      </w:r>
      <w:r w:rsidR="00E6384B" w:rsidRPr="00F1556C">
        <w:rPr>
          <w:szCs w:val="24"/>
        </w:rPr>
        <w:t xml:space="preserve">а </w:t>
      </w:r>
      <w:r w:rsidR="00E6384B" w:rsidRPr="00CF13F6">
        <w:rPr>
          <w:szCs w:val="24"/>
        </w:rPr>
        <w:t>1</w:t>
      </w:r>
      <w:r w:rsidR="00F1556C" w:rsidRPr="00CF13F6">
        <w:rPr>
          <w:szCs w:val="24"/>
        </w:rPr>
        <w:t>-</w:t>
      </w:r>
      <w:r w:rsidR="00632342" w:rsidRPr="00CF13F6">
        <w:rPr>
          <w:szCs w:val="24"/>
        </w:rPr>
        <w:t>3</w:t>
      </w:r>
      <w:r w:rsidR="00E6384B" w:rsidRPr="00CF13F6">
        <w:rPr>
          <w:szCs w:val="24"/>
        </w:rPr>
        <w:t xml:space="preserve"> годах обучения в</w:t>
      </w:r>
      <w:r w:rsidR="00E6384B" w:rsidRPr="00E6384B">
        <w:rPr>
          <w:szCs w:val="24"/>
        </w:rPr>
        <w:t xml:space="preserve">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proofErr w:type="spellStart"/>
      <w:r w:rsidR="002D2361">
        <w:rPr>
          <w:szCs w:val="24"/>
        </w:rPr>
        <w:t>педагогичесокой</w:t>
      </w:r>
      <w:proofErr w:type="spellEnd"/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F1556C" w:rsidRPr="00CF13F6">
        <w:rPr>
          <w:szCs w:val="24"/>
        </w:rPr>
        <w:t>3</w:t>
      </w:r>
      <w:r w:rsidRPr="00CF13F6">
        <w:rPr>
          <w:szCs w:val="24"/>
        </w:rPr>
        <w:t xml:space="preserve"> </w:t>
      </w:r>
      <w:proofErr w:type="spellStart"/>
      <w:r w:rsidRPr="00CF13F6">
        <w:rPr>
          <w:szCs w:val="24"/>
        </w:rPr>
        <w:t>з.е</w:t>
      </w:r>
      <w:proofErr w:type="spellEnd"/>
      <w:r w:rsidRPr="00CF13F6">
        <w:rPr>
          <w:szCs w:val="24"/>
        </w:rPr>
        <w:t>.</w:t>
      </w:r>
      <w:r w:rsidR="00996D5B" w:rsidRPr="00CF13F6">
        <w:rPr>
          <w:szCs w:val="24"/>
        </w:rPr>
        <w:t xml:space="preserve">, </w:t>
      </w:r>
      <w:r w:rsidR="00F1556C" w:rsidRPr="00CF13F6">
        <w:rPr>
          <w:szCs w:val="24"/>
        </w:rPr>
        <w:t>114</w:t>
      </w:r>
      <w:r w:rsidR="00996D5B" w:rsidRPr="00F1556C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2E57CA" w:rsidRPr="002E57CA" w:rsidRDefault="000170B2" w:rsidP="002E57CA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Знать</w:t>
      </w:r>
      <w:r w:rsidRPr="009E5F42">
        <w:t>: основные методики преподавания экономических дисциплин; правила академической этики.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Уметь</w:t>
      </w:r>
      <w:r w:rsidRPr="009E5F42">
        <w:t>:</w:t>
      </w:r>
      <w:r w:rsidRPr="009E5F42">
        <w:rPr>
          <w:color w:val="FF0000"/>
        </w:rPr>
        <w:t xml:space="preserve"> </w:t>
      </w:r>
      <w:r w:rsidRPr="009E5F42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</w:t>
      </w:r>
      <w:r>
        <w:t>ы</w:t>
      </w:r>
      <w:r w:rsidRPr="009E5F42">
        <w:t xml:space="preserve"> контроля </w:t>
      </w:r>
      <w:r>
        <w:t>качества</w:t>
      </w:r>
      <w:r w:rsidRPr="009E5F42">
        <w:t xml:space="preserve"> усвоени</w:t>
      </w:r>
      <w:r>
        <w:t>я пройденного материала и оценки</w:t>
      </w:r>
      <w:r w:rsidRPr="009E5F42">
        <w:t xml:space="preserve"> знаний студентов.</w:t>
      </w:r>
    </w:p>
    <w:p w:rsidR="002E57CA" w:rsidRP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E5F42">
        <w:rPr>
          <w:b/>
        </w:rPr>
        <w:t>Иметь навыки</w:t>
      </w:r>
      <w:r w:rsidRPr="009E5F42">
        <w:t xml:space="preserve"> (приобрести опыт): преподавания экономики, а также отдельных разделов и дисциплин экономического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2E57CA" w:rsidRPr="000170B2" w:rsidRDefault="002E57CA" w:rsidP="002E57CA">
      <w:pPr>
        <w:ind w:firstLine="0"/>
        <w:rPr>
          <w:highlight w:val="yellow"/>
        </w:rPr>
      </w:pPr>
    </w:p>
    <w:p w:rsidR="002E57CA" w:rsidRPr="000170B2" w:rsidRDefault="002E57CA" w:rsidP="002E57CA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2E57CA" w:rsidRPr="000170B2" w:rsidRDefault="002E57CA" w:rsidP="002E57CA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2E57CA" w:rsidRPr="00D978D6" w:rsidTr="00E60C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 xml:space="preserve">Компетенция </w:t>
            </w:r>
            <w:r w:rsidRPr="00D978D6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right="-108"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>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1417" w:type="dxa"/>
          </w:tcPr>
          <w:p w:rsidR="002E57CA" w:rsidRPr="00F172C0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ОПК-3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запланировать все необходимые мероприятия курса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выбирать современные образовательные технологии и методы обучения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</w:t>
            </w:r>
            <w:r w:rsidRPr="00F37729">
              <w:rPr>
                <w:rFonts w:eastAsia="Times New Roman"/>
                <w:szCs w:val="24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ОПК-5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разработать все необходимые методические материалы по преподаваемому курсу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E7300E" w:rsidP="00E60C00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ПК-6</w:t>
            </w:r>
          </w:p>
        </w:tc>
        <w:tc>
          <w:tcPr>
            <w:tcW w:w="5387" w:type="dxa"/>
          </w:tcPr>
          <w:p w:rsidR="002E57CA" w:rsidRPr="000170B2" w:rsidRDefault="002E57CA" w:rsidP="00596B4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 w:rsidR="00596B49">
              <w:rPr>
                <w:szCs w:val="24"/>
              </w:rPr>
              <w:t xml:space="preserve"> ведения</w:t>
            </w:r>
            <w:r w:rsidRPr="006402A3">
              <w:rPr>
                <w:szCs w:val="24"/>
              </w:rPr>
              <w:t xml:space="preserve"> </w:t>
            </w:r>
            <w:r w:rsidR="00596B49" w:rsidRPr="00596B49">
              <w:rPr>
                <w:szCs w:val="24"/>
              </w:rPr>
              <w:t>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разработка содержания учебных занятий, методическая работа по учебному предмету, соответствующему направлению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7126D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D13A57" w:rsidRPr="00D13A57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D13A57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</w:t>
      </w:r>
      <w:proofErr w:type="gramStart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 для вузов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М., 2014</w:t>
      </w:r>
    </w:p>
    <w:p w:rsidR="00E4463A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Зе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льдович Б. З., Сперанская Н. М. Активные методы обучения.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для вузов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М.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11E57" w:rsidRPr="00211E57" w:rsidRDefault="00211E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 обучения в высшей школе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: монография / Абакумова И.В., Белоусова А.К., Зор</w:t>
      </w:r>
      <w:r w:rsidR="006E4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ина Е.С.,, Максимович Е. и др. 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2019. </w:t>
      </w:r>
    </w:p>
    <w:p w:rsidR="00211E57" w:rsidRDefault="00211E57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A11AB" w:rsidRDefault="00B447A2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7A2">
        <w:rPr>
          <w:rFonts w:ascii="Times New Roman" w:hAnsi="Times New Roman"/>
          <w:sz w:val="24"/>
          <w:szCs w:val="24"/>
        </w:rPr>
        <w:t>Коржуев</w:t>
      </w:r>
      <w:proofErr w:type="spellEnd"/>
      <w:r w:rsidRPr="00B447A2">
        <w:rPr>
          <w:rFonts w:ascii="Times New Roman" w:hAnsi="Times New Roman"/>
          <w:sz w:val="24"/>
          <w:szCs w:val="24"/>
        </w:rPr>
        <w:t xml:space="preserve"> А.В., Соколова А.С. Педагогика в зеркале исследовательского поиска: на перекрестке мнений. М.</w:t>
      </w:r>
      <w:r w:rsidR="00211E57">
        <w:rPr>
          <w:rFonts w:ascii="Times New Roman" w:hAnsi="Times New Roman"/>
          <w:sz w:val="24"/>
          <w:szCs w:val="24"/>
        </w:rPr>
        <w:t xml:space="preserve">, </w:t>
      </w:r>
      <w:r w:rsidRPr="00B447A2">
        <w:rPr>
          <w:rFonts w:ascii="Times New Roman" w:hAnsi="Times New Roman"/>
          <w:sz w:val="24"/>
          <w:szCs w:val="24"/>
        </w:rPr>
        <w:t>2014.</w:t>
      </w:r>
    </w:p>
    <w:p w:rsidR="00D13A57" w:rsidRDefault="00D13A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D13A57">
        <w:rPr>
          <w:rFonts w:ascii="Times New Roman" w:hAnsi="Times New Roman"/>
          <w:sz w:val="24"/>
          <w:szCs w:val="24"/>
        </w:rPr>
        <w:t>Профессионализм</w:t>
      </w:r>
      <w:r w:rsidR="00211E57">
        <w:rPr>
          <w:rFonts w:ascii="Times New Roman" w:hAnsi="Times New Roman"/>
          <w:sz w:val="24"/>
          <w:szCs w:val="24"/>
        </w:rPr>
        <w:t xml:space="preserve"> педагога: успешность и карьера</w:t>
      </w:r>
      <w:r w:rsidRPr="00D13A57">
        <w:rPr>
          <w:rFonts w:ascii="Times New Roman" w:hAnsi="Times New Roman"/>
          <w:sz w:val="24"/>
          <w:szCs w:val="24"/>
        </w:rPr>
        <w:t>: монография / Н.А</w:t>
      </w:r>
      <w:r w:rsidR="00211E57">
        <w:rPr>
          <w:rFonts w:ascii="Times New Roman" w:hAnsi="Times New Roman"/>
          <w:sz w:val="24"/>
          <w:szCs w:val="24"/>
        </w:rPr>
        <w:t xml:space="preserve">. Глузман, Н.В. Горбунова. — М., </w:t>
      </w:r>
      <w:r w:rsidRPr="00D13A57">
        <w:rPr>
          <w:rFonts w:ascii="Times New Roman" w:hAnsi="Times New Roman"/>
          <w:sz w:val="24"/>
          <w:szCs w:val="24"/>
        </w:rPr>
        <w:t xml:space="preserve">2019. Режим доступа: </w:t>
      </w:r>
      <w:hyperlink r:id="rId10" w:history="1">
        <w:r w:rsidR="00211E57" w:rsidRPr="00CE39E5">
          <w:rPr>
            <w:rStyle w:val="ad"/>
            <w:rFonts w:ascii="Times New Roman" w:hAnsi="Times New Roman"/>
            <w:sz w:val="24"/>
            <w:szCs w:val="24"/>
          </w:rPr>
          <w:t>http://znanium.com/catalog/product/977688</w:t>
        </w:r>
      </w:hyperlink>
      <w:r w:rsidR="00211E57">
        <w:rPr>
          <w:rFonts w:ascii="Times New Roman" w:hAnsi="Times New Roman"/>
          <w:sz w:val="24"/>
          <w:szCs w:val="24"/>
        </w:rPr>
        <w:t>.</w:t>
      </w:r>
    </w:p>
    <w:p w:rsidR="00211E57" w:rsidRPr="00B447A2" w:rsidRDefault="00211E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E57">
        <w:rPr>
          <w:rFonts w:ascii="Times New Roman" w:hAnsi="Times New Roman"/>
          <w:sz w:val="24"/>
          <w:szCs w:val="24"/>
        </w:rPr>
        <w:t>Дадалко</w:t>
      </w:r>
      <w:proofErr w:type="spellEnd"/>
      <w:r w:rsidRPr="00211E57">
        <w:rPr>
          <w:rFonts w:ascii="Times New Roman" w:hAnsi="Times New Roman"/>
          <w:sz w:val="24"/>
          <w:szCs w:val="24"/>
        </w:rPr>
        <w:t>, В.А. Современные инновационные технологии и модели обучения в образовании</w:t>
      </w:r>
      <w:proofErr w:type="gramStart"/>
      <w:r w:rsidRPr="00211E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1E57">
        <w:rPr>
          <w:rFonts w:ascii="Times New Roman" w:hAnsi="Times New Roman"/>
          <w:sz w:val="24"/>
          <w:szCs w:val="24"/>
        </w:rPr>
        <w:t xml:space="preserve"> учебное пособие</w:t>
      </w:r>
      <w:r w:rsidR="006E4000">
        <w:rPr>
          <w:rFonts w:ascii="Times New Roman" w:hAnsi="Times New Roman"/>
          <w:sz w:val="24"/>
          <w:szCs w:val="24"/>
        </w:rPr>
        <w:t xml:space="preserve">.  М., </w:t>
      </w:r>
      <w:r w:rsidRPr="00211E57">
        <w:rPr>
          <w:rFonts w:ascii="Times New Roman" w:hAnsi="Times New Roman"/>
          <w:sz w:val="24"/>
          <w:szCs w:val="24"/>
        </w:rPr>
        <w:t xml:space="preserve">2019. 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211E57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1E57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 // http://fgosvo.ru/fgosvpo</w:t>
      </w: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1"/>
      <w:footerReference w:type="default" r:id="rId12"/>
      <w:headerReference w:type="first" r:id="rId13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35" w:rsidRDefault="007F6035">
      <w:r>
        <w:separator/>
      </w:r>
    </w:p>
  </w:endnote>
  <w:endnote w:type="continuationSeparator" w:id="0">
    <w:p w:rsidR="007F6035" w:rsidRDefault="007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4479E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35" w:rsidRDefault="007F6035">
      <w:r>
        <w:separator/>
      </w:r>
    </w:p>
  </w:footnote>
  <w:footnote w:type="continuationSeparator" w:id="0">
    <w:p w:rsidR="007F6035" w:rsidRDefault="007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</w:t>
          </w:r>
          <w:proofErr w:type="gramStart"/>
          <w:r w:rsidRPr="0002074C">
            <w:rPr>
              <w:sz w:val="20"/>
              <w:szCs w:val="20"/>
            </w:rPr>
            <w:t>Высшая</w:t>
          </w:r>
          <w:proofErr w:type="gramEnd"/>
          <w:r w:rsidRPr="0002074C">
            <w:rPr>
              <w:sz w:val="20"/>
              <w:szCs w:val="20"/>
            </w:rPr>
            <w:t xml:space="preserve"> школа экономики»</w:t>
          </w:r>
        </w:p>
        <w:p w:rsidR="0002074C" w:rsidRPr="0002074C" w:rsidRDefault="0002074C" w:rsidP="00DE71E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57CA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6B49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7F6035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578D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3F6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479E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00E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56C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4DEF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776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10847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3</cp:revision>
  <cp:lastPrinted>2012-09-28T19:59:00Z</cp:lastPrinted>
  <dcterms:created xsi:type="dcterms:W3CDTF">2019-12-25T14:16:00Z</dcterms:created>
  <dcterms:modified xsi:type="dcterms:W3CDTF">2019-12-25T14:37:00Z</dcterms:modified>
</cp:coreProperties>
</file>