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BF7A67" w:rsidRDefault="00BF7A67" w:rsidP="00BF7A67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ОСНОВНАЯ ОБРАЗОВАТЕЛЬНАЯ </w:t>
      </w: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ПРОГРАММА ВЫСШЕГО ОБРАЗОВАНИЯ –</w:t>
      </w: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hAnsi="Times New Roman"/>
          <w:highlight w:val="red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Математика и механика</w:t>
      </w:r>
    </w:p>
    <w:p w:rsidR="00BF7A67" w:rsidRDefault="00BF7A67" w:rsidP="00BF7A67">
      <w:pPr>
        <w:tabs>
          <w:tab w:val="center" w:pos="4961"/>
          <w:tab w:val="left" w:pos="6123"/>
        </w:tabs>
        <w:spacing w:after="0" w:line="23" w:lineRule="atLeast"/>
        <w:ind w:firstLine="567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ab/>
        <w:t>(название программы)</w:t>
      </w:r>
      <w:r>
        <w:rPr>
          <w:rFonts w:ascii="Times New Roman" w:hAnsi="Times New Roman"/>
          <w:color w:val="auto"/>
          <w:sz w:val="16"/>
          <w:szCs w:val="16"/>
        </w:rPr>
        <w:tab/>
      </w:r>
    </w:p>
    <w:p w:rsidR="00BF7A67" w:rsidRPr="00C30470" w:rsidRDefault="00BF7A67" w:rsidP="00BF7A67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01</w:t>
      </w:r>
      <w:r w:rsidRPr="00C30470">
        <w:rPr>
          <w:rFonts w:ascii="Times New Roman" w:hAnsi="Times New Roman"/>
          <w:color w:val="auto"/>
          <w:sz w:val="28"/>
          <w:szCs w:val="28"/>
          <w:u w:val="single"/>
        </w:rPr>
        <w:t>.06.01 «</w:t>
      </w:r>
      <w:r>
        <w:rPr>
          <w:rFonts w:ascii="Times New Roman" w:hAnsi="Times New Roman"/>
          <w:color w:val="auto"/>
          <w:sz w:val="28"/>
          <w:szCs w:val="28"/>
          <w:u w:val="single"/>
        </w:rPr>
        <w:t>Математика и механика</w:t>
      </w:r>
      <w:r w:rsidRPr="00C30470">
        <w:rPr>
          <w:rFonts w:ascii="Times New Roman" w:hAnsi="Times New Roman"/>
          <w:color w:val="auto"/>
          <w:sz w:val="28"/>
          <w:szCs w:val="28"/>
          <w:u w:val="single"/>
        </w:rPr>
        <w:t>»</w:t>
      </w:r>
    </w:p>
    <w:p w:rsidR="00BF7A67" w:rsidRDefault="00BF7A67" w:rsidP="00BF7A67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(направление подготовки)</w:t>
      </w:r>
    </w:p>
    <w:p w:rsidR="00BF7A67" w:rsidRDefault="00BF7A67" w:rsidP="00BF7A67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</w:t>
      </w:r>
      <w:r w:rsidRPr="00BF7A6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Теория вероятностей и математическая статистика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»</w:t>
      </w:r>
      <w:r w:rsidRPr="00BF7A6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</w:t>
      </w:r>
      <w:r w:rsidRPr="00BF7A6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Математическая логика, алгебра и теория чисел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»</w:t>
      </w:r>
      <w:r w:rsidRPr="00BF7A6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</w:t>
      </w:r>
      <w:r w:rsidRPr="00BF7A6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Дифференциальные уравнения, динамические системы и оптимальное управление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»</w:t>
      </w:r>
      <w:r w:rsidRPr="00BF7A6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</w:t>
      </w:r>
      <w:r w:rsidRPr="00BF7A6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Математическая физика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»</w:t>
      </w:r>
      <w:r w:rsidRPr="00BF7A6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«</w:t>
      </w:r>
      <w:r w:rsidRPr="00BF7A6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Геометрия и топология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»</w:t>
      </w:r>
      <w:r w:rsidRPr="00BF7A67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</w:p>
    <w:p w:rsidR="00BF7A67" w:rsidRPr="00392C39" w:rsidRDefault="00BF7A67" w:rsidP="00BF7A67">
      <w:pPr>
        <w:spacing w:after="0" w:line="23" w:lineRule="atLeast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/>
          <w:color w:val="auto"/>
          <w:sz w:val="16"/>
          <w:szCs w:val="16"/>
        </w:rPr>
        <w:t>(направленность программы)</w:t>
      </w:r>
      <w:r>
        <w:br w:type="page"/>
      </w:r>
    </w:p>
    <w:p w:rsidR="00A53807" w:rsidRDefault="00BF7A67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Общая характеристика (концепция) программы</w:t>
      </w: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3652"/>
        <w:gridCol w:w="5693"/>
      </w:tblGrid>
      <w:tr w:rsidR="00BF7A67" w:rsidTr="00BF7A67">
        <w:tc>
          <w:tcPr>
            <w:tcW w:w="3652" w:type="dxa"/>
            <w:shd w:val="clear" w:color="auto" w:fill="auto"/>
          </w:tcPr>
          <w:p w:rsidR="00BF7A67" w:rsidRPr="00BF7A67" w:rsidRDefault="00BF7A67" w:rsidP="00BF7A67">
            <w:pPr>
              <w:pStyle w:val="2"/>
              <w:outlineLvl w:val="1"/>
              <w:rPr>
                <w:rFonts w:ascii="Times New Roman" w:eastAsia="SimSun" w:hAnsi="Times New Roman" w:cs="Times New Roman"/>
                <w:b/>
                <w:color w:val="auto"/>
                <w:kern w:val="2"/>
                <w:lang w:eastAsia="zh-CN"/>
              </w:rPr>
            </w:pPr>
            <w:r w:rsidRPr="00BF7A67">
              <w:rPr>
                <w:rFonts w:ascii="Times New Roman" w:eastAsia="SimSun" w:hAnsi="Times New Roman" w:cs="Times New Roman"/>
                <w:b/>
                <w:color w:val="auto"/>
                <w:kern w:val="2"/>
                <w:lang w:eastAsia="zh-CN"/>
              </w:rPr>
              <w:t>Направление подготовки</w:t>
            </w:r>
          </w:p>
        </w:tc>
        <w:tc>
          <w:tcPr>
            <w:tcW w:w="5693" w:type="dxa"/>
          </w:tcPr>
          <w:p w:rsidR="00BF7A67" w:rsidRPr="00BF7A67" w:rsidRDefault="00BF7A67" w:rsidP="00BF7A67">
            <w:pPr>
              <w:pStyle w:val="2"/>
              <w:outlineLvl w:val="1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lang w:eastAsia="zh-CN"/>
              </w:rPr>
              <w:t>01</w:t>
            </w:r>
            <w:r w:rsidRPr="00BF7A67">
              <w:rPr>
                <w:rFonts w:ascii="Times New Roman" w:eastAsia="SimSun" w:hAnsi="Times New Roman" w:cs="Times New Roman"/>
                <w:bCs/>
                <w:color w:val="auto"/>
                <w:kern w:val="2"/>
                <w:lang w:eastAsia="zh-CN"/>
              </w:rPr>
              <w:t>.06.01 «</w:t>
            </w: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lang w:eastAsia="zh-CN"/>
              </w:rPr>
              <w:t>Математика и механика</w:t>
            </w:r>
            <w:r w:rsidRPr="00BF7A67">
              <w:rPr>
                <w:rFonts w:ascii="Times New Roman" w:eastAsia="SimSun" w:hAnsi="Times New Roman" w:cs="Times New Roman"/>
                <w:bCs/>
                <w:color w:val="auto"/>
                <w:kern w:val="2"/>
                <w:lang w:eastAsia="zh-CN"/>
              </w:rPr>
              <w:t>»</w:t>
            </w:r>
          </w:p>
        </w:tc>
      </w:tr>
      <w:tr w:rsidR="00BF7A67" w:rsidTr="00BF7A67">
        <w:trPr>
          <w:trHeight w:val="245"/>
        </w:trPr>
        <w:tc>
          <w:tcPr>
            <w:tcW w:w="3652" w:type="dxa"/>
            <w:shd w:val="clear" w:color="auto" w:fill="auto"/>
          </w:tcPr>
          <w:p w:rsidR="00BF7A67" w:rsidRPr="00BF7A67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</w:pPr>
            <w:r w:rsidRPr="00BF7A67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  <w:t>Дата утверждения ООП</w:t>
            </w:r>
          </w:p>
        </w:tc>
        <w:tc>
          <w:tcPr>
            <w:tcW w:w="5693" w:type="dxa"/>
          </w:tcPr>
          <w:p w:rsidR="00BF7A67" w:rsidRPr="002008EF" w:rsidRDefault="002008EF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lang w:eastAsia="zh-CN"/>
              </w:rPr>
            </w:pPr>
            <w:r w:rsidRPr="002008E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lang w:eastAsia="zh-CN"/>
              </w:rPr>
              <w:t>П</w:t>
            </w:r>
            <w:r w:rsidRPr="002008EF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lang w:eastAsia="zh-CN"/>
              </w:rPr>
              <w:t>ротокол № 9 от 29.09.2017 решения ученого совета</w:t>
            </w:r>
          </w:p>
        </w:tc>
      </w:tr>
      <w:tr w:rsidR="00BF7A67" w:rsidTr="00BF7A67">
        <w:trPr>
          <w:trHeight w:val="974"/>
        </w:trPr>
        <w:tc>
          <w:tcPr>
            <w:tcW w:w="3652" w:type="dxa"/>
            <w:shd w:val="clear" w:color="auto" w:fill="auto"/>
          </w:tcPr>
          <w:p w:rsidR="00BF7A67" w:rsidRPr="00BF7A67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</w:pPr>
            <w:r w:rsidRPr="00BF7A67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</w:tcPr>
          <w:p w:rsidR="00BF7A67" w:rsidRPr="002008EF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lang w:eastAsia="zh-CN"/>
              </w:rPr>
            </w:pPr>
            <w:r w:rsidRPr="00BF7A67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lang w:eastAsia="zh-CN"/>
              </w:rPr>
              <w:t>0</w:t>
            </w: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lang w:eastAsia="zh-CN"/>
              </w:rPr>
              <w:t>1</w:t>
            </w:r>
            <w:r w:rsidRPr="00BF7A67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lang w:eastAsia="zh-CN"/>
              </w:rPr>
              <w:t>.06.01 «</w:t>
            </w: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lang w:eastAsia="zh-CN"/>
              </w:rPr>
              <w:t>Математик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lang w:eastAsia="zh-CN"/>
              </w:rPr>
              <w:t>а и механика</w:t>
            </w:r>
            <w:r w:rsidRPr="00BF7A67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lang w:eastAsia="zh-CN"/>
              </w:rPr>
              <w:t>»</w:t>
            </w:r>
          </w:p>
          <w:p w:rsidR="00BF7A67" w:rsidRPr="002008EF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lang w:eastAsia="zh-CN"/>
              </w:rPr>
            </w:pPr>
            <w:r w:rsidRPr="00BF7A67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lang w:eastAsia="zh-CN"/>
              </w:rPr>
              <w:t>утвержден ученым советом НИУ ВШЭ протокол от 28.11.2014 № 08</w:t>
            </w:r>
          </w:p>
        </w:tc>
      </w:tr>
      <w:tr w:rsidR="00BF7A67" w:rsidTr="00BF7A67">
        <w:tc>
          <w:tcPr>
            <w:tcW w:w="3652" w:type="dxa"/>
            <w:shd w:val="clear" w:color="auto" w:fill="auto"/>
          </w:tcPr>
          <w:p w:rsidR="00BF7A67" w:rsidRPr="00BF7A67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</w:pPr>
            <w:r w:rsidRPr="00BF7A67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  <w:t>Объём программы</w:t>
            </w:r>
          </w:p>
        </w:tc>
        <w:tc>
          <w:tcPr>
            <w:tcW w:w="5693" w:type="dxa"/>
          </w:tcPr>
          <w:p w:rsidR="00BF7A67" w:rsidRPr="00BF7A67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7A67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  <w:t xml:space="preserve">240 </w:t>
            </w:r>
            <w:proofErr w:type="spellStart"/>
            <w:r w:rsidRPr="00BF7A67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  <w:t>з.е</w:t>
            </w:r>
            <w:proofErr w:type="spellEnd"/>
            <w:r w:rsidRPr="00BF7A67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  <w:t>.</w:t>
            </w:r>
          </w:p>
        </w:tc>
      </w:tr>
      <w:tr w:rsidR="00BF7A67" w:rsidTr="00BF7A67">
        <w:tc>
          <w:tcPr>
            <w:tcW w:w="3652" w:type="dxa"/>
            <w:shd w:val="clear" w:color="auto" w:fill="auto"/>
          </w:tcPr>
          <w:p w:rsidR="00BF7A67" w:rsidRPr="00BF7A67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</w:pPr>
            <w:r w:rsidRPr="00BF7A67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  <w:t>Срок и форма обучения</w:t>
            </w:r>
          </w:p>
        </w:tc>
        <w:tc>
          <w:tcPr>
            <w:tcW w:w="5693" w:type="dxa"/>
          </w:tcPr>
          <w:p w:rsidR="00BF7A67" w:rsidRPr="00BF7A67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7A67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  <w:t>4 года, очно</w:t>
            </w:r>
          </w:p>
        </w:tc>
      </w:tr>
      <w:tr w:rsidR="00BF7A67" w:rsidTr="00BF7A67">
        <w:tc>
          <w:tcPr>
            <w:tcW w:w="3652" w:type="dxa"/>
            <w:shd w:val="clear" w:color="auto" w:fill="auto"/>
          </w:tcPr>
          <w:p w:rsidR="00BF7A67" w:rsidRPr="00BF7A67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</w:pPr>
            <w:r w:rsidRPr="00BF7A67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  <w:t>Язык обучения</w:t>
            </w:r>
          </w:p>
        </w:tc>
        <w:tc>
          <w:tcPr>
            <w:tcW w:w="5693" w:type="dxa"/>
          </w:tcPr>
          <w:p w:rsidR="00BF7A67" w:rsidRPr="00BF7A67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</w:pPr>
            <w:r w:rsidRPr="00BF7A67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  <w:t>Русский</w:t>
            </w:r>
          </w:p>
        </w:tc>
      </w:tr>
      <w:tr w:rsidR="00BF7A67" w:rsidTr="00BF7A67">
        <w:tc>
          <w:tcPr>
            <w:tcW w:w="3652" w:type="dxa"/>
            <w:shd w:val="clear" w:color="auto" w:fill="auto"/>
          </w:tcPr>
          <w:p w:rsidR="00BF7A67" w:rsidRPr="00BF7A67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</w:pPr>
            <w:r w:rsidRPr="00BF7A67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lang w:eastAsia="zh-CN"/>
              </w:rPr>
              <w:t>Квалификация</w:t>
            </w:r>
          </w:p>
        </w:tc>
        <w:tc>
          <w:tcPr>
            <w:tcW w:w="5693" w:type="dxa"/>
          </w:tcPr>
          <w:p w:rsidR="00BF7A67" w:rsidRPr="00BF7A67" w:rsidRDefault="00BF7A67" w:rsidP="00BF7A6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</w:pPr>
            <w:r w:rsidRPr="00BF7A67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lang w:eastAsia="zh-CN"/>
              </w:rPr>
              <w:t>Исследователь. Преподаватель-исследователь</w:t>
            </w:r>
          </w:p>
        </w:tc>
      </w:tr>
    </w:tbl>
    <w:p w:rsidR="00A53807" w:rsidRDefault="00A5380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807" w:rsidRDefault="00BF7A67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Актуальность программы</w:t>
      </w:r>
    </w:p>
    <w:p w:rsidR="00A53807" w:rsidRDefault="00A53807">
      <w:pPr>
        <w:pStyle w:val="a6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53807" w:rsidRDefault="00BF7A67">
      <w:pPr>
        <w:pStyle w:val="11"/>
        <w:tabs>
          <w:tab w:val="left" w:pos="284"/>
          <w:tab w:val="left" w:pos="426"/>
        </w:tabs>
        <w:spacing w:after="0" w:line="100" w:lineRule="atLeast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Образовательная программа является естественным завершением программ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и магистратуры по математике в НИУ ВШЭ. Основой программы являются наиболее сильные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выпуснкики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магистерских программ по математике НИУ ВШЭ и других сильнейших вузов России, а также ученые-математики с мировым именем, работающие в НИУ ВШЭ.</w:t>
      </w:r>
    </w:p>
    <w:p w:rsidR="00A53807" w:rsidRDefault="00A53807">
      <w:pPr>
        <w:pStyle w:val="a6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53807" w:rsidRDefault="00BF7A67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Цель и задачи программы</w:t>
      </w:r>
    </w:p>
    <w:p w:rsidR="00A53807" w:rsidRDefault="00BF7A67">
      <w:pPr>
        <w:pStyle w:val="11"/>
        <w:tabs>
          <w:tab w:val="left" w:pos="284"/>
          <w:tab w:val="left" w:pos="426"/>
        </w:tabs>
        <w:spacing w:after="0" w:line="100" w:lineRule="atLeast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Цель программы – обеспечить качественную подготовку высокообразованных, разносторонне развитых и востребованных на мировом рынке специалистов математике и ее приложениям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de-DE"/>
        </w:rPr>
        <w:t>уровня</w:t>
      </w:r>
      <w:proofErr w:type="spellEnd"/>
      <w:r>
        <w:rPr>
          <w:rFonts w:ascii="Times New Roman" w:hAnsi="Times New Roman"/>
          <w:color w:val="auto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de-DE"/>
        </w:rPr>
        <w:t>выпускников</w:t>
      </w:r>
      <w:proofErr w:type="spellEnd"/>
      <w:r>
        <w:rPr>
          <w:rFonts w:ascii="Times New Roman" w:hAnsi="Times New Roman"/>
          <w:color w:val="auto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de-DE"/>
        </w:rPr>
        <w:t>аспирантур</w:t>
      </w:r>
      <w:proofErr w:type="spellEnd"/>
      <w:r>
        <w:rPr>
          <w:rFonts w:ascii="Times New Roman" w:hAnsi="Times New Roman"/>
          <w:color w:val="auto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de-DE"/>
        </w:rPr>
        <w:t>ведущих</w:t>
      </w:r>
      <w:proofErr w:type="spellEnd"/>
      <w:r>
        <w:rPr>
          <w:rFonts w:ascii="Times New Roman" w:hAnsi="Times New Roman"/>
          <w:color w:val="auto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de-DE"/>
        </w:rPr>
        <w:t>мировых</w:t>
      </w:r>
      <w:proofErr w:type="spellEnd"/>
      <w:r>
        <w:rPr>
          <w:rFonts w:ascii="Times New Roman" w:hAnsi="Times New Roman"/>
          <w:color w:val="auto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  <w:lang w:val="de-DE"/>
        </w:rPr>
        <w:t>университетов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A53807" w:rsidRDefault="00A53807">
      <w:pPr>
        <w:pStyle w:val="11"/>
        <w:tabs>
          <w:tab w:val="left" w:pos="284"/>
          <w:tab w:val="left" w:pos="426"/>
        </w:tabs>
        <w:spacing w:after="0" w:line="100" w:lineRule="atLeast"/>
        <w:ind w:left="0" w:firstLine="567"/>
        <w:jc w:val="both"/>
        <w:rPr>
          <w:rFonts w:ascii="Times New Roman" w:hAnsi="Times New Roman"/>
          <w:color w:val="auto"/>
        </w:rPr>
      </w:pPr>
    </w:p>
    <w:p w:rsidR="00A53807" w:rsidRDefault="00BF7A67">
      <w:pPr>
        <w:tabs>
          <w:tab w:val="left" w:pos="284"/>
          <w:tab w:val="left" w:pos="426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Задачи программы:</w:t>
      </w:r>
    </w:p>
    <w:p w:rsidR="00A53807" w:rsidRDefault="00BF7A67">
      <w:pPr>
        <w:tabs>
          <w:tab w:val="left" w:pos="284"/>
          <w:tab w:val="left" w:pos="426"/>
        </w:tabs>
        <w:jc w:val="both"/>
      </w:pPr>
      <w:r>
        <w:rPr>
          <w:rFonts w:ascii="Times New Roman" w:hAnsi="Times New Roman"/>
          <w:color w:val="auto"/>
          <w:sz w:val="28"/>
          <w:szCs w:val="28"/>
        </w:rPr>
        <w:t xml:space="preserve">     а)</w:t>
      </w:r>
      <w:r>
        <w:rPr>
          <w:rFonts w:ascii="Times New Roman" w:hAnsi="Times New Roman"/>
          <w:color w:val="auto"/>
          <w:sz w:val="28"/>
          <w:szCs w:val="28"/>
        </w:rPr>
        <w:tab/>
        <w:t xml:space="preserve">в части </w:t>
      </w:r>
      <w:r>
        <w:rPr>
          <w:rFonts w:ascii="Times New Roman" w:hAnsi="Times New Roman"/>
          <w:i/>
          <w:color w:val="auto"/>
          <w:sz w:val="28"/>
          <w:szCs w:val="28"/>
        </w:rPr>
        <w:t>качества образования:</w:t>
      </w:r>
    </w:p>
    <w:p w:rsidR="00A53807" w:rsidRDefault="00BF7A67">
      <w:pPr>
        <w:pStyle w:val="11"/>
        <w:numPr>
          <w:ilvl w:val="0"/>
          <w:numId w:val="2"/>
        </w:numPr>
        <w:spacing w:after="0" w:line="100" w:lineRule="atLeast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успешного прохождения и завершения всех запланированных в программе учебных курсов, научно-педагогической и научно-исследовательской практик, подготовки к сдаче кандидатского экзамена, государственной итоговой аттестации;</w:t>
      </w:r>
    </w:p>
    <w:p w:rsidR="00A53807" w:rsidRDefault="00BF7A67">
      <w:pPr>
        <w:pStyle w:val="11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постоянное наблюдение за качеством преподаваемых учебных курсов для аспирантов;</w:t>
      </w:r>
    </w:p>
    <w:p w:rsidR="00A53807" w:rsidRDefault="00BF7A67">
      <w:pPr>
        <w:pStyle w:val="11"/>
        <w:spacing w:after="0" w:line="100" w:lineRule="atLeast"/>
        <w:ind w:left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получение и реагирование на обратную связь со стороны аспирантов по разным аспектам реализации образовательной программы;</w:t>
      </w:r>
    </w:p>
    <w:p w:rsidR="00A53807" w:rsidRDefault="00BF7A67">
      <w:pPr>
        <w:pStyle w:val="11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дополнительного образования аспирантов через систему стажировок, летних школ и краткосрочных курсов на базе ведущих мировых исследовательских университетов.</w:t>
      </w:r>
    </w:p>
    <w:p w:rsidR="00A53807" w:rsidRDefault="00BF7A67">
      <w:pPr>
        <w:pStyle w:val="11"/>
        <w:keepNext/>
        <w:spacing w:after="0" w:line="100" w:lineRule="atLeast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 xml:space="preserve">в части </w:t>
      </w:r>
      <w:r>
        <w:rPr>
          <w:rFonts w:ascii="Times New Roman" w:hAnsi="Times New Roman"/>
          <w:i/>
          <w:sz w:val="28"/>
          <w:szCs w:val="28"/>
        </w:rPr>
        <w:t>разностороннего развития:</w:t>
      </w:r>
    </w:p>
    <w:p w:rsidR="00A53807" w:rsidRDefault="00BF7A67">
      <w:pPr>
        <w:pStyle w:val="11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взаимодействия между аспирантами, ведущими исследования по разным направлениям;</w:t>
      </w:r>
    </w:p>
    <w:p w:rsidR="00A53807" w:rsidRDefault="00BF7A67">
      <w:pPr>
        <w:pStyle w:val="11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стимулирование междисциплинарных исследований и совместной исследовательской работы;</w:t>
      </w:r>
    </w:p>
    <w:p w:rsidR="00A53807" w:rsidRDefault="00BF7A67">
      <w:pPr>
        <w:pStyle w:val="11"/>
        <w:spacing w:after="0" w:line="100" w:lineRule="atLeast"/>
        <w:ind w:left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организация возможности для активного взаимодействия между аспирантами и сотрудниками аспирантской школы из кампусов, расположенных в Москве, Нижнем Новгороде и Санкт-Петербурге;</w:t>
      </w:r>
    </w:p>
    <w:p w:rsidR="00A53807" w:rsidRDefault="00BF7A67">
      <w:pPr>
        <w:pStyle w:val="11"/>
        <w:spacing w:after="0" w:line="100" w:lineRule="atLeast"/>
        <w:ind w:left="2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способствование работе научно-исследовательских семинаров по математике, без которых невозможны развитие и научная работа аспирантов.</w:t>
      </w:r>
    </w:p>
    <w:p w:rsidR="00A53807" w:rsidRDefault="00BF7A67">
      <w:pPr>
        <w:pStyle w:val="11"/>
        <w:keepNext/>
        <w:spacing w:after="0" w:line="100" w:lineRule="atLeast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 xml:space="preserve">в части </w:t>
      </w:r>
      <w:r>
        <w:rPr>
          <w:rFonts w:ascii="Times New Roman" w:hAnsi="Times New Roman"/>
          <w:i/>
          <w:sz w:val="28"/>
          <w:szCs w:val="28"/>
        </w:rPr>
        <w:t xml:space="preserve">востребованности на мировом рынке и соответствия уровню степени </w:t>
      </w:r>
      <w:proofErr w:type="spellStart"/>
      <w:r>
        <w:rPr>
          <w:rFonts w:ascii="Times New Roman" w:hAnsi="Times New Roman"/>
          <w:i/>
          <w:sz w:val="28"/>
          <w:szCs w:val="28"/>
          <w:lang w:val="de-DE"/>
        </w:rPr>
        <w:t>PhD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ведущих мировых университетов:</w:t>
      </w:r>
    </w:p>
    <w:p w:rsidR="00A53807" w:rsidRDefault="00BF7A67">
      <w:pPr>
        <w:pStyle w:val="11"/>
        <w:numPr>
          <w:ilvl w:val="0"/>
          <w:numId w:val="2"/>
        </w:numPr>
        <w:spacing w:after="0" w:line="100" w:lineRule="atLeast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научному руководству аспирантами ведущих мировых исследователей из числа сотрудников НИУ ВШЭ;</w:t>
      </w:r>
    </w:p>
    <w:p w:rsidR="00A53807" w:rsidRDefault="00BF7A67">
      <w:pPr>
        <w:pStyle w:val="11"/>
        <w:numPr>
          <w:ilvl w:val="0"/>
          <w:numId w:val="2"/>
        </w:numPr>
        <w:spacing w:after="0" w:line="100" w:lineRule="atLeast"/>
        <w:ind w:left="426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академической мобильности аспирантов как внутри Российской Федерации, так и за рубежом для научного общения и </w:t>
      </w:r>
      <w:proofErr w:type="gramStart"/>
      <w:r>
        <w:rPr>
          <w:rFonts w:ascii="Times New Roman" w:hAnsi="Times New Roman"/>
          <w:sz w:val="28"/>
          <w:szCs w:val="28"/>
        </w:rPr>
        <w:t>проведения совместных исследований с сотрудниками ведущих мировых университетов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научных институтов; </w:t>
      </w:r>
    </w:p>
    <w:p w:rsidR="00A53807" w:rsidRDefault="00BF7A67">
      <w:pPr>
        <w:pStyle w:val="11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подготовке аспирантами научных статей и их публикации в ведущих мировых академических изданиях по профилю аспирантской школы;</w:t>
      </w:r>
    </w:p>
    <w:p w:rsidR="00A53807" w:rsidRDefault="00BF7A67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color w:val="auto"/>
          <w:sz w:val="28"/>
          <w:szCs w:val="28"/>
        </w:rPr>
        <w:t>развитие международной сети институциональных связей аспирантской школы; проведение работы в направлении открытия совместной аспирантуры с ведущими российскими и зарубежными исследовательскими университетами.</w:t>
      </w:r>
    </w:p>
    <w:p w:rsidR="00A53807" w:rsidRDefault="00BF7A67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Целевая аудитория программы</w:t>
      </w:r>
    </w:p>
    <w:p w:rsidR="00A53807" w:rsidRDefault="00A53807">
      <w:pPr>
        <w:pStyle w:val="a6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53807" w:rsidRDefault="00BF7A67">
      <w:pPr>
        <w:pStyle w:val="11"/>
        <w:spacing w:after="0" w:line="1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приема в аспирантуру и условия конкурсного отбора определяются Правилами приема в аспирантуру, ежегодно устанавливаемыми НИУ ВШЭ. Для успешного выполнения поставленных задач и достижения цели программы на программу будут набираться аспиранты, получившие высшее профессиональное образование, подтвержденное дипломом специалиста или дипломом магистра, наиболее успешно сдавшие вступительные экзамены по математике и иностранному языку и продемонстрировавшие свои способности к исследовательской работе.</w:t>
      </w:r>
    </w:p>
    <w:p w:rsidR="00A53807" w:rsidRDefault="00BF7A67">
      <w:pPr>
        <w:pStyle w:val="11"/>
        <w:tabs>
          <w:tab w:val="left" w:pos="284"/>
          <w:tab w:val="left" w:pos="426"/>
        </w:tabs>
        <w:spacing w:after="0" w:line="1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План набора – 20-35 аспирантов ежегодно (до 25 аспирантов в Москве и до 10 в Нижнем Новгороде и Санкт-Петербурге). Планируется также увеличение набора за счет привлечения иностранных аспирантов.</w:t>
      </w:r>
    </w:p>
    <w:p w:rsidR="00A53807" w:rsidRDefault="00A53807">
      <w:pPr>
        <w:pStyle w:val="a6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53807" w:rsidRDefault="00BF7A67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Характеристика сегмента рынка образовательных услуг, основные конкуренты, сравнительные преимущества программы</w:t>
      </w:r>
    </w:p>
    <w:p w:rsidR="00A53807" w:rsidRDefault="00BF7A67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российские конкуренты НИУ ВШЭ в области аспирантуры по математике - это МГУ, СПбГУ и МФТИ. Кроме того, наиболее сильные выпускники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и магистратуры НИУ ВШЭ по математике обладают подготовкой, которая позволяет им поступить на любую программу </w:t>
      </w:r>
      <w:r>
        <w:rPr>
          <w:rFonts w:ascii="Times New Roman" w:hAnsi="Times New Roman"/>
          <w:sz w:val="28"/>
          <w:szCs w:val="28"/>
        </w:rPr>
        <w:lastRenderedPageBreak/>
        <w:t>аспирантуры или на совмещенную программу вида "магистратура + аспирантура" в мире. Как следствие, НИУ ВШЭ конкурирует также с ведущими североамериканскими и европейскими университетами.</w:t>
      </w:r>
    </w:p>
    <w:p w:rsidR="00A53807" w:rsidRDefault="00BF7A67">
      <w:pPr>
        <w:tabs>
          <w:tab w:val="left" w:pos="284"/>
          <w:tab w:val="left" w:pos="426"/>
        </w:tabs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Несмотря на это, НИУ ВШЭ обладает рядом преимуществ по сравнению с конкурентами. К таким преимуществам относятся, в частности, интересные задачи, которые научные руководители ставят аспирантам, а также сложившаяся в последние годы математическая среда, включающая в себя математические курсы, исследовательские семинары и сопутствующие научные обсуждения. Заметным преимуществом по сравнению с российскими университетами-конкурентами является также наличие программы "академическая аспирантура".</w:t>
      </w:r>
    </w:p>
    <w:p w:rsidR="00A53807" w:rsidRDefault="00A53807">
      <w:pPr>
        <w:pStyle w:val="a6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53807" w:rsidRDefault="00BF7A67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Кадровое обеспечение программы</w:t>
      </w:r>
    </w:p>
    <w:p w:rsidR="00A53807" w:rsidRDefault="00BF7A67">
      <w:pPr>
        <w:tabs>
          <w:tab w:val="left" w:pos="284"/>
          <w:tab w:val="left" w:pos="426"/>
        </w:tabs>
        <w:spacing w:after="0" w:line="240" w:lineRule="auto"/>
        <w:ind w:right="-143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</w:rPr>
        <w:t xml:space="preserve">В НИУ ВШЭ математика представлена на Факультете математики, включая ассоциированные лаборатории (Алгебраической геометрии;  Зеркальной симметрии и автоморфных форм), на Общеуниверситетской кафедре высшей математики, в Московском институте электроники и математики им. </w:t>
      </w:r>
      <w:proofErr w:type="spellStart"/>
      <w:r>
        <w:rPr>
          <w:rFonts w:ascii="Times New Roman" w:eastAsia="Times New Roman" w:hAnsi="Times New Roman"/>
          <w:color w:val="auto"/>
          <w:sz w:val="28"/>
          <w:szCs w:val="28"/>
        </w:rPr>
        <w:t>А.Н.Тихонова</w:t>
      </w:r>
      <w:proofErr w:type="spellEnd"/>
      <w:r>
        <w:rPr>
          <w:rFonts w:ascii="Times New Roman" w:eastAsia="Times New Roman" w:hAnsi="Times New Roman"/>
          <w:color w:val="auto"/>
          <w:sz w:val="28"/>
          <w:szCs w:val="28"/>
        </w:rPr>
        <w:t xml:space="preserve"> и в Лаборатории стохастического анализа и его приложений.</w:t>
      </w:r>
      <w:r>
        <w:rPr>
          <w:rFonts w:ascii="Times New Roman" w:eastAsia="Times New Roman" w:hAnsi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/>
          <w:color w:val="auto"/>
          <w:sz w:val="28"/>
          <w:szCs w:val="28"/>
        </w:rPr>
        <w:br/>
        <w:t xml:space="preserve">Преподавание на факультете математики НИУ ВШЭ ведут активные математики-исследователи, многие из которых являются специалистами мирового уровня в своих профессиональных областях. В преподавании и организации научных семинаров участвуют сотрудники ассоциированных с факультетом международных научных лабораторий, институтов РАН, имеющих на факультете базовые кафедры: Математического института им. Стеклова, Института проблем и передачи информации им. </w:t>
      </w:r>
      <w:proofErr w:type="spellStart"/>
      <w:r>
        <w:rPr>
          <w:rFonts w:ascii="Times New Roman" w:eastAsia="Times New Roman" w:hAnsi="Times New Roman"/>
          <w:color w:val="auto"/>
          <w:sz w:val="28"/>
          <w:szCs w:val="28"/>
        </w:rPr>
        <w:t>Харкевича</w:t>
      </w:r>
      <w:proofErr w:type="spellEnd"/>
      <w:r>
        <w:rPr>
          <w:rFonts w:ascii="Times New Roman" w:eastAsia="Times New Roman" w:hAnsi="Times New Roman"/>
          <w:color w:val="auto"/>
          <w:sz w:val="28"/>
          <w:szCs w:val="28"/>
        </w:rPr>
        <w:t xml:space="preserve">, Физического института им. Лебедева, а также других ведущих научных институтов Москвы. Среди преподавателей факультета имеются учёные из Великобритании, Канады, США и Японии, более половины сотрудников — доктора наук, многие имеют степени западных университетов. Кроме того, среди сотрудников факультета, включая ассоциированные с факультетом лаборатории, есть два действительных члена Российской Академии Наук, один лауреат премии </w:t>
      </w:r>
      <w:proofErr w:type="spellStart"/>
      <w:r>
        <w:rPr>
          <w:rFonts w:ascii="Times New Roman" w:eastAsia="Times New Roman" w:hAnsi="Times New Roman"/>
          <w:color w:val="auto"/>
          <w:sz w:val="28"/>
          <w:szCs w:val="28"/>
        </w:rPr>
        <w:t>Филдса</w:t>
      </w:r>
      <w:proofErr w:type="spellEnd"/>
      <w:r>
        <w:rPr>
          <w:rFonts w:ascii="Times New Roman" w:eastAsia="Times New Roman" w:hAnsi="Times New Roman"/>
          <w:color w:val="auto"/>
          <w:sz w:val="28"/>
          <w:szCs w:val="28"/>
        </w:rPr>
        <w:t xml:space="preserve"> и 14 приглашённых докладчиков Международных математических конгрессов. Все это обеспечивает творческий, нестандартный подход к преподаванию, постоянную модернизацию методов обучения и внедрение в учебные программы самых последних физико-математических достижений, а также даёт возможность мотивированным аспирантам с самого начала обучения принимать участие в реальной научной работе.</w:t>
      </w:r>
    </w:p>
    <w:p w:rsidR="00A53807" w:rsidRDefault="00A53807">
      <w:pPr>
        <w:pStyle w:val="a6"/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A53807" w:rsidRDefault="00BF7A67">
      <w:pPr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6. «Портрет выпускника» программы. Рынок труда для выпускника программы.</w:t>
      </w:r>
    </w:p>
    <w:p w:rsidR="00A53807" w:rsidRDefault="00BF7A67">
      <w:pPr>
        <w:pStyle w:val="11"/>
        <w:spacing w:after="0" w:line="1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 защиты диссертации выпускник программы либо продолжает заниматься самостоятельными научными исследованиями, либо начинает работать в высокотехнологичном секторе или в сфере образования. Опыт первых нескольких наборов показывает, что выпускники аспирантуры НИУ ВШЭ по математике пользуются большим спросом на всех этих направлениях.</w:t>
      </w:r>
    </w:p>
    <w:p w:rsidR="00A53807" w:rsidRDefault="00A53807">
      <w:pPr>
        <w:pStyle w:val="11"/>
        <w:spacing w:after="0" w:line="1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53807" w:rsidRDefault="00BF7A67">
      <w:pPr>
        <w:pStyle w:val="11"/>
        <w:tabs>
          <w:tab w:val="left" w:pos="284"/>
          <w:tab w:val="left" w:pos="426"/>
        </w:tabs>
        <w:spacing w:after="0" w:line="10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число работодателей наших выпускников входят ведущие российские и зарубежные университеты и исследовательские центры (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Сколтех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Эколь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Политекник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, Массачусетский технологический институт,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Корнеллский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университет, Институт Макса Планка, Университет Чикаго), известные российские и международные компании (Яндекс,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Huawei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research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), а также лучшие российские школы (57 школа, лицей НИУ ВШЭ).</w:t>
      </w:r>
    </w:p>
    <w:p w:rsidR="00A53807" w:rsidRDefault="00A53807">
      <w:pP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53807" w:rsidRDefault="00A53807">
      <w:pPr>
        <w:tabs>
          <w:tab w:val="left" w:pos="284"/>
          <w:tab w:val="left" w:pos="426"/>
        </w:tabs>
        <w:spacing w:after="0"/>
        <w:ind w:firstLine="284"/>
        <w:jc w:val="both"/>
      </w:pPr>
    </w:p>
    <w:sectPr w:rsidR="00A5380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06008"/>
    <w:multiLevelType w:val="multilevel"/>
    <w:tmpl w:val="C568E2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971F59"/>
    <w:multiLevelType w:val="multilevel"/>
    <w:tmpl w:val="9D52D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2220"/>
    <w:multiLevelType w:val="multilevel"/>
    <w:tmpl w:val="BC52069E"/>
    <w:lvl w:ilvl="0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927"/>
        </w:tabs>
        <w:ind w:left="360" w:firstLine="41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287"/>
        </w:tabs>
        <w:ind w:left="720" w:firstLine="41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647"/>
        </w:tabs>
        <w:ind w:left="1080" w:firstLine="41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2007"/>
        </w:tabs>
        <w:ind w:left="1440" w:firstLine="41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2367"/>
        </w:tabs>
        <w:ind w:left="1800" w:firstLine="41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2727"/>
        </w:tabs>
        <w:ind w:left="2160" w:firstLine="41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3087"/>
        </w:tabs>
        <w:ind w:left="2520" w:firstLine="41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3447"/>
        </w:tabs>
        <w:ind w:left="2880" w:firstLine="414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07"/>
    <w:rsid w:val="002008EF"/>
    <w:rsid w:val="00A53807"/>
    <w:rsid w:val="00B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D7A3"/>
  <w15:docId w15:val="{D461D799-A822-4811-BF41-2F2D4AEB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2E"/>
    <w:pPr>
      <w:spacing w:after="160" w:line="259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7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6">
    <w:name w:val="ListLabel 6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7">
    <w:name w:val="ListLabel 6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8">
    <w:name w:val="ListLabel 6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9">
    <w:name w:val="ListLabel 6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0">
    <w:name w:val="ListLabel 7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1">
    <w:name w:val="ListLabel 7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2">
    <w:name w:val="ListLabel 7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3">
    <w:name w:val="ListLabel 7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4">
    <w:name w:val="ListLabel 7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3">
    <w:name w:val="ListLabel 8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3">
    <w:name w:val="ListLabel 9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4">
    <w:name w:val="ListLabel 9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5">
    <w:name w:val="ListLabel 9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6">
    <w:name w:val="ListLabel 9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7">
    <w:name w:val="ListLabel 9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8">
    <w:name w:val="ListLabel 9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9">
    <w:name w:val="ListLabel 9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B35F2E"/>
    <w:pPr>
      <w:ind w:left="720"/>
      <w:contextualSpacing/>
    </w:pPr>
  </w:style>
  <w:style w:type="paragraph" w:customStyle="1" w:styleId="AA">
    <w:name w:val="Основной текст A A"/>
    <w:qFormat/>
    <w:rsid w:val="00B35F2E"/>
    <w:pP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customStyle="1" w:styleId="11">
    <w:name w:val="Абзац списка1"/>
    <w:basedOn w:val="a"/>
    <w:qFormat/>
    <w:pPr>
      <w:spacing w:after="200"/>
      <w:ind w:left="720"/>
    </w:pPr>
  </w:style>
  <w:style w:type="numbering" w:customStyle="1" w:styleId="5">
    <w:name w:val="Импортированный стиль 5"/>
    <w:qFormat/>
    <w:rsid w:val="00B35F2E"/>
  </w:style>
  <w:style w:type="numbering" w:customStyle="1" w:styleId="6">
    <w:name w:val="Импортированный стиль 6"/>
    <w:qFormat/>
    <w:rsid w:val="00B35F2E"/>
  </w:style>
  <w:style w:type="numbering" w:customStyle="1" w:styleId="7">
    <w:name w:val="Импортированный стиль 7"/>
    <w:qFormat/>
    <w:rsid w:val="00B35F2E"/>
  </w:style>
  <w:style w:type="numbering" w:customStyle="1" w:styleId="8">
    <w:name w:val="Импортированный стиль 8"/>
    <w:qFormat/>
    <w:rsid w:val="00B35F2E"/>
  </w:style>
  <w:style w:type="table" w:styleId="a7">
    <w:name w:val="Table Grid"/>
    <w:basedOn w:val="a1"/>
    <w:uiPriority w:val="59"/>
    <w:rsid w:val="006379E9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F7A67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7A67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Ольга Ивановна</dc:creator>
  <dc:description/>
  <cp:lastModifiedBy>Александр Вальковский</cp:lastModifiedBy>
  <cp:revision>2</cp:revision>
  <dcterms:created xsi:type="dcterms:W3CDTF">2020-01-09T16:30:00Z</dcterms:created>
  <dcterms:modified xsi:type="dcterms:W3CDTF">2020-01-09T16:30:00Z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