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D8" w:rsidRP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63D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0E5F671" wp14:editId="412C3D85">
            <wp:extent cx="647700" cy="619125"/>
            <wp:effectExtent l="0" t="0" r="0" b="9525"/>
            <wp:docPr id="1" name="Рисунок 1" descr="логотип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3D8" w:rsidRP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66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НАЦИОНАЛЬНЫЙ ИССЛЕДОВАТЕЛЬСКИЙ УНИВЕРСИТЕТ</w:t>
      </w:r>
    </w:p>
    <w:p w:rsidR="000663D8" w:rsidRP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66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«ВЫСШАЯ ШКОЛА ЭКОНОМИКИ»</w:t>
      </w:r>
    </w:p>
    <w:p w:rsidR="000663D8" w:rsidRP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66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НАУЧНЫЙ ДОКЛАД</w:t>
      </w:r>
    </w:p>
    <w:p w:rsidR="000663D8" w:rsidRP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66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результатам подготовленной</w:t>
      </w:r>
    </w:p>
    <w:p w:rsidR="000663D8" w:rsidRP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66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научно-квалификационной работы (диссертации)</w:t>
      </w:r>
    </w:p>
    <w:p w:rsidR="000663D8" w:rsidRP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тему: «Экономическое регулирование выбросов парниковых газов в европейских странах</w:t>
      </w:r>
      <w:r w:rsidRPr="00066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0663D8" w:rsidRP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0663D8" w:rsidRDefault="000663D8" w:rsidP="00066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0663D8" w:rsidRDefault="000663D8" w:rsidP="00066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6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Степанов Илья Александрович</w:t>
      </w:r>
    </w:p>
    <w:p w:rsidR="000663D8" w:rsidRPr="000663D8" w:rsidRDefault="000663D8" w:rsidP="00066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0663D8" w:rsidRDefault="000663D8" w:rsidP="00066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6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Направление подготовки 38.06.01 Экономика </w:t>
      </w:r>
    </w:p>
    <w:p w:rsidR="000663D8" w:rsidRPr="000663D8" w:rsidRDefault="000663D8" w:rsidP="00066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0663D8" w:rsidRDefault="000663D8" w:rsidP="00066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6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Профиль (направленность) 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08.00.14 Мировая экономика</w:t>
      </w:r>
      <w:r w:rsidRPr="00066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663D8" w:rsidRPr="000663D8" w:rsidRDefault="000663D8" w:rsidP="00066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0663D8" w:rsidRDefault="000663D8" w:rsidP="00066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66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Аспирантская школа по экономике</w:t>
      </w:r>
    </w:p>
    <w:p w:rsidR="000663D8" w:rsidRPr="000663D8" w:rsidRDefault="000663D8" w:rsidP="00066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0663D8" w:rsidRDefault="000663D8" w:rsidP="00066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466AC6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0663D8" w:rsidRDefault="000663D8" w:rsidP="00066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6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Аспирант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Степанов И.А.</w:t>
      </w:r>
    </w:p>
    <w:p w:rsidR="000663D8" w:rsidRPr="000663D8" w:rsidRDefault="000663D8" w:rsidP="00066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0663D8" w:rsidRDefault="000663D8" w:rsidP="00066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6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Научный руководитель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Макаров И.А.</w:t>
      </w:r>
    </w:p>
    <w:p w:rsidR="000663D8" w:rsidRPr="000663D8" w:rsidRDefault="000663D8" w:rsidP="00066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0663D8" w:rsidRDefault="000663D8" w:rsidP="00066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6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Директор Аспирантской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Демидова О.А.</w:t>
      </w:r>
    </w:p>
    <w:p w:rsidR="000663D8" w:rsidRPr="000663D8" w:rsidRDefault="000663D8" w:rsidP="00066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807A85" w:rsidRPr="00807A85" w:rsidRDefault="00807A85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0663D8" w:rsidRP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663D8" w:rsidRPr="000663D8" w:rsidRDefault="000663D8" w:rsidP="00066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6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Москва, 2019 </w:t>
      </w:r>
    </w:p>
    <w:p w:rsidR="000663D8" w:rsidRDefault="000663D8">
      <w:pPr>
        <w:rPr>
          <w:rStyle w:val="12"/>
          <w:rFonts w:eastAsia="Times New Roman" w:cs="Times New Roman"/>
          <w:color w:val="000000"/>
          <w:szCs w:val="28"/>
          <w:lang w:eastAsia="ru-RU"/>
        </w:rPr>
      </w:pPr>
    </w:p>
    <w:p w:rsidR="000663D8" w:rsidRPr="000663D8" w:rsidRDefault="000663D8">
      <w:pPr>
        <w:rPr>
          <w:rStyle w:val="12"/>
          <w:rFonts w:eastAsia="Times New Roman" w:cs="Times New Roman"/>
          <w:color w:val="000000"/>
          <w:szCs w:val="28"/>
          <w:lang w:eastAsia="ru-RU"/>
        </w:rPr>
      </w:pPr>
    </w:p>
    <w:p w:rsidR="00FF1CC1" w:rsidRPr="00FF1CC1" w:rsidRDefault="00FF1CC1" w:rsidP="009A423E">
      <w:pPr>
        <w:pStyle w:val="1"/>
      </w:pPr>
      <w:r w:rsidRPr="00FF1CC1">
        <w:lastRenderedPageBreak/>
        <w:t>Актуальность, объект и предмет исследования</w:t>
      </w:r>
    </w:p>
    <w:p w:rsidR="00C17FB0" w:rsidRPr="00C17FB0" w:rsidRDefault="00C17FB0" w:rsidP="00C17F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FB0">
        <w:rPr>
          <w:rFonts w:ascii="Times New Roman" w:hAnsi="Times New Roman" w:cs="Times New Roman"/>
          <w:sz w:val="28"/>
          <w:szCs w:val="28"/>
        </w:rPr>
        <w:t xml:space="preserve">Проблема глобального изменения климата является одним из главных вызовов, стоящих перед мировой экономикой в XXI веке. Парижское климатическое соглашение, подписанное в 2015 г. и уже ратифицированное почти всеми ведущими странами, декларирует переход мирового сообщества к </w:t>
      </w:r>
      <w:proofErr w:type="spellStart"/>
      <w:r w:rsidRPr="00C17FB0">
        <w:rPr>
          <w:rFonts w:ascii="Times New Roman" w:hAnsi="Times New Roman" w:cs="Times New Roman"/>
          <w:sz w:val="28"/>
          <w:szCs w:val="28"/>
        </w:rPr>
        <w:t>низкоуглеродному</w:t>
      </w:r>
      <w:proofErr w:type="spellEnd"/>
      <w:r w:rsidRPr="00C17FB0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FF1CC1">
        <w:rPr>
          <w:rFonts w:ascii="Times New Roman" w:hAnsi="Times New Roman" w:cs="Times New Roman"/>
          <w:sz w:val="28"/>
          <w:szCs w:val="28"/>
        </w:rPr>
        <w:t xml:space="preserve"> </w:t>
      </w:r>
      <w:r w:rsidR="00FF1CC1" w:rsidRPr="00FF1CC1">
        <w:rPr>
          <w:rFonts w:ascii="Times New Roman" w:hAnsi="Times New Roman" w:cs="Times New Roman"/>
          <w:sz w:val="28"/>
          <w:szCs w:val="28"/>
        </w:rPr>
        <w:t>(</w:t>
      </w:r>
      <w:r w:rsidR="00283244">
        <w:rPr>
          <w:rFonts w:ascii="Times New Roman" w:hAnsi="Times New Roman" w:cs="Times New Roman"/>
          <w:sz w:val="28"/>
          <w:szCs w:val="28"/>
        </w:rPr>
        <w:t>Макаров, Степанов, 201</w:t>
      </w:r>
      <w:r w:rsidR="0082053C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FF1CC1" w:rsidRPr="00FF1CC1">
        <w:rPr>
          <w:rFonts w:ascii="Times New Roman" w:hAnsi="Times New Roman" w:cs="Times New Roman"/>
          <w:sz w:val="28"/>
          <w:szCs w:val="28"/>
        </w:rPr>
        <w:t>)</w:t>
      </w:r>
      <w:r w:rsidRPr="00C17FB0">
        <w:rPr>
          <w:rFonts w:ascii="Times New Roman" w:hAnsi="Times New Roman" w:cs="Times New Roman"/>
          <w:sz w:val="28"/>
          <w:szCs w:val="28"/>
        </w:rPr>
        <w:t>. Противодействие изменению климата является одной из семнадцати Целей устойчивого развития ООН, одобренных большинством стран мира, включая Россию, в 2015 г. Глобальное изменение климата давно перестало восприниматься как чисто экологическая проблема; оно напрямую связано с процессами социально-экологического развития стран, поэтому рассматривается целым рядом социальных наук, в том числе экономикой.</w:t>
      </w:r>
    </w:p>
    <w:p w:rsidR="00C17FB0" w:rsidRDefault="00C17FB0" w:rsidP="00C17F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FB0">
        <w:rPr>
          <w:rFonts w:ascii="Times New Roman" w:hAnsi="Times New Roman" w:cs="Times New Roman"/>
          <w:sz w:val="28"/>
          <w:szCs w:val="28"/>
        </w:rPr>
        <w:t xml:space="preserve">Со временем регулирование выбросов становится все более распространенным элементом энергетической и климатической политики в разных странах мира. Оно служит как непосредственно целям по сокращению выбросов и выполнению международных обязательств, так и решению ряда внутренних экономических, социальных и отраслевых задач − от повышения энергетической эффективности и создания рабочих мест до снижения рисков обострения конкуренции на внешних рынках. </w:t>
      </w:r>
    </w:p>
    <w:p w:rsidR="00C17FB0" w:rsidRDefault="00C17FB0" w:rsidP="00C17FB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7FB0">
        <w:rPr>
          <w:rFonts w:ascii="Times New Roman" w:hAnsi="Times New Roman"/>
          <w:sz w:val="28"/>
          <w:szCs w:val="28"/>
        </w:rPr>
        <w:t xml:space="preserve">В последние годы новый импульс получила и российская климатическая политика. К 2020 г., согласно Указу Президента от 2013 г., стоит цель сокращения выбросов до 75% от уровня 1990 г., а цели, сформулированные для Парижского соглашения, предполагают сокращение выбросов до 70-75% по сравнению с уровнем 1990 г. к 2030 г. Постепенно формируется нормативно-правовое поле регулирования выбросов. В сентябре 2019 г. Д.А. Медведев подписал постановление Правительства РФ о принятии Парижского климатического соглашения. Профильным министерствам поручена разработка стратегии долгосрочного развития с низким уровнем выбросов парниковых газов. Наконец, активно обсуждается вопрос </w:t>
      </w:r>
      <w:r w:rsidRPr="00C17FB0">
        <w:rPr>
          <w:rFonts w:ascii="Times New Roman" w:hAnsi="Times New Roman"/>
          <w:sz w:val="28"/>
          <w:szCs w:val="28"/>
        </w:rPr>
        <w:lastRenderedPageBreak/>
        <w:t xml:space="preserve">использования инструментов регулирования выбросов парниковых газов: проект федерального закона об обязательной углеродной отчетности и введении системы регулирования выбросов в России находится на рассмотрении в Правительстве. В том числе на официальном уровне и в экспертной среде ведется дискуссия о том, каким образом и в каком размере может быть установлена цена на выбросы парниковых газов. </w:t>
      </w:r>
    </w:p>
    <w:p w:rsidR="00C17FB0" w:rsidRDefault="00C17FB0" w:rsidP="00C17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B0">
        <w:rPr>
          <w:rFonts w:ascii="Times New Roman" w:hAnsi="Times New Roman" w:cs="Times New Roman"/>
          <w:sz w:val="28"/>
          <w:szCs w:val="28"/>
        </w:rPr>
        <w:t xml:space="preserve">Усиление роли национальных правительств в решении проблемы глобального изменения климата ставит вопрос выбора инструментария климатической политики. Традиционно в академической литературе, общественных и политических дискуссиях в качестве главного экономического инструмента воздействия на объем парниковых выбросов выделяется цена на углерод, которая может вводиться двумя основными способами – в виде углеродного налога или системы торговли </w:t>
      </w:r>
      <w:r w:rsidR="000F3604">
        <w:rPr>
          <w:rFonts w:ascii="Times New Roman" w:hAnsi="Times New Roman" w:cs="Times New Roman"/>
          <w:sz w:val="28"/>
          <w:szCs w:val="28"/>
        </w:rPr>
        <w:t>выбросами</w:t>
      </w:r>
      <w:r w:rsidRPr="00C17FB0">
        <w:rPr>
          <w:rFonts w:ascii="Times New Roman" w:hAnsi="Times New Roman" w:cs="Times New Roman"/>
          <w:sz w:val="28"/>
          <w:szCs w:val="28"/>
        </w:rPr>
        <w:t xml:space="preserve"> (</w:t>
      </w:r>
      <w:r w:rsidR="000F3604">
        <w:rPr>
          <w:rFonts w:ascii="Times New Roman" w:hAnsi="Times New Roman" w:cs="Times New Roman"/>
          <w:sz w:val="28"/>
          <w:szCs w:val="28"/>
        </w:rPr>
        <w:t>СТВ</w:t>
      </w:r>
      <w:r w:rsidRPr="00C17FB0">
        <w:rPr>
          <w:rFonts w:ascii="Times New Roman" w:hAnsi="Times New Roman" w:cs="Times New Roman"/>
          <w:sz w:val="28"/>
          <w:szCs w:val="28"/>
        </w:rPr>
        <w:t xml:space="preserve">). В настоящий момент цена на углерод в том или ином виде используются уже в более 40 административных субъектах по всему миру </w:t>
      </w:r>
      <w:r w:rsidR="005A3E2E">
        <w:rPr>
          <w:rFonts w:ascii="Times New Roman" w:hAnsi="Times New Roman" w:cs="Times New Roman"/>
          <w:sz w:val="28"/>
          <w:szCs w:val="28"/>
        </w:rPr>
        <w:t>(</w:t>
      </w:r>
      <w:r w:rsidRPr="00C17FB0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C17FB0">
        <w:rPr>
          <w:rFonts w:ascii="Times New Roman" w:hAnsi="Times New Roman" w:cs="Times New Roman"/>
          <w:sz w:val="28"/>
          <w:szCs w:val="28"/>
        </w:rPr>
        <w:t xml:space="preserve"> </w:t>
      </w:r>
      <w:r w:rsidRPr="00C17FB0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="00876550">
        <w:rPr>
          <w:rFonts w:ascii="Times New Roman" w:hAnsi="Times New Roman" w:cs="Times New Roman"/>
          <w:sz w:val="28"/>
          <w:szCs w:val="28"/>
        </w:rPr>
        <w:t>, 2018</w:t>
      </w:r>
      <w:r w:rsidR="005A3E2E">
        <w:rPr>
          <w:rFonts w:ascii="Times New Roman" w:hAnsi="Times New Roman" w:cs="Times New Roman"/>
          <w:sz w:val="28"/>
          <w:szCs w:val="28"/>
        </w:rPr>
        <w:t>)</w:t>
      </w:r>
      <w:r w:rsidRPr="00C17F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FB0" w:rsidRPr="00C17FB0" w:rsidRDefault="00C17FB0" w:rsidP="00C17F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FB0">
        <w:rPr>
          <w:rFonts w:ascii="Times New Roman" w:hAnsi="Times New Roman" w:cs="Times New Roman"/>
          <w:sz w:val="28"/>
          <w:szCs w:val="28"/>
        </w:rPr>
        <w:t xml:space="preserve">Выбросы от сжигания ископаемого топлива составляют более двух третей от совокупных выбросов в атмосферу </w:t>
      </w:r>
      <w:r w:rsidR="005A3E2E">
        <w:rPr>
          <w:rFonts w:ascii="Times New Roman" w:hAnsi="Times New Roman" w:cs="Times New Roman"/>
          <w:sz w:val="28"/>
          <w:szCs w:val="28"/>
        </w:rPr>
        <w:t>(</w:t>
      </w:r>
      <w:r w:rsidRPr="00C17FB0">
        <w:rPr>
          <w:rFonts w:ascii="Times New Roman" w:hAnsi="Times New Roman" w:cs="Times New Roman"/>
          <w:sz w:val="28"/>
          <w:szCs w:val="28"/>
          <w:lang w:val="en-US"/>
        </w:rPr>
        <w:t>IEA</w:t>
      </w:r>
      <w:r w:rsidRPr="00C17FB0">
        <w:rPr>
          <w:rFonts w:ascii="Times New Roman" w:hAnsi="Times New Roman" w:cs="Times New Roman"/>
          <w:sz w:val="28"/>
          <w:szCs w:val="28"/>
        </w:rPr>
        <w:t>, 2017</w:t>
      </w:r>
      <w:r w:rsidR="005A3E2E">
        <w:rPr>
          <w:rFonts w:ascii="Times New Roman" w:hAnsi="Times New Roman" w:cs="Times New Roman"/>
          <w:sz w:val="28"/>
          <w:szCs w:val="28"/>
        </w:rPr>
        <w:t>)</w:t>
      </w:r>
      <w:r w:rsidRPr="00C17FB0">
        <w:rPr>
          <w:rFonts w:ascii="Times New Roman" w:hAnsi="Times New Roman" w:cs="Times New Roman"/>
          <w:sz w:val="28"/>
          <w:szCs w:val="28"/>
        </w:rPr>
        <w:t xml:space="preserve">. Вместе с тем налогообложение в энергетическом комплексе является средством регулирования отрасли и пополнения государственного бюджета еще с первой половины </w:t>
      </w:r>
      <w:r w:rsidRPr="00C17FB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17FB0">
        <w:rPr>
          <w:rFonts w:ascii="Times New Roman" w:hAnsi="Times New Roman" w:cs="Times New Roman"/>
          <w:sz w:val="28"/>
          <w:szCs w:val="28"/>
        </w:rPr>
        <w:t xml:space="preserve"> века </w:t>
      </w:r>
      <w:r w:rsidR="005A3E2E">
        <w:rPr>
          <w:rFonts w:ascii="Times New Roman" w:hAnsi="Times New Roman" w:cs="Times New Roman"/>
          <w:sz w:val="28"/>
          <w:szCs w:val="28"/>
        </w:rPr>
        <w:t>(</w:t>
      </w:r>
      <w:r w:rsidRPr="00C17FB0">
        <w:rPr>
          <w:rFonts w:ascii="Times New Roman" w:hAnsi="Times New Roman" w:cs="Times New Roman"/>
          <w:sz w:val="28"/>
          <w:szCs w:val="28"/>
          <w:lang w:val="en-US"/>
        </w:rPr>
        <w:t>Speck</w:t>
      </w:r>
      <w:r w:rsidRPr="00C17FB0">
        <w:rPr>
          <w:rFonts w:ascii="Times New Roman" w:hAnsi="Times New Roman" w:cs="Times New Roman"/>
          <w:sz w:val="28"/>
          <w:szCs w:val="28"/>
        </w:rPr>
        <w:t>, 2008</w:t>
      </w:r>
      <w:r w:rsidR="005A3E2E">
        <w:rPr>
          <w:rFonts w:ascii="Times New Roman" w:hAnsi="Times New Roman" w:cs="Times New Roman"/>
          <w:sz w:val="28"/>
          <w:szCs w:val="28"/>
        </w:rPr>
        <w:t>)</w:t>
      </w:r>
      <w:r w:rsidRPr="00C17FB0">
        <w:rPr>
          <w:rFonts w:ascii="Times New Roman" w:hAnsi="Times New Roman" w:cs="Times New Roman"/>
          <w:sz w:val="28"/>
          <w:szCs w:val="28"/>
        </w:rPr>
        <w:t xml:space="preserve">. В основе экономического регулирования энергетического сектора лежит целый набор налогов, субсидий и льгот для разных типов используемой </w:t>
      </w:r>
      <w:proofErr w:type="gramStart"/>
      <w:r w:rsidRPr="00C17FB0">
        <w:rPr>
          <w:rFonts w:ascii="Times New Roman" w:hAnsi="Times New Roman" w:cs="Times New Roman"/>
          <w:sz w:val="28"/>
          <w:szCs w:val="28"/>
        </w:rPr>
        <w:t>энергии</w:t>
      </w:r>
      <w:proofErr w:type="gramEnd"/>
      <w:r w:rsidRPr="00C17FB0">
        <w:rPr>
          <w:rFonts w:ascii="Times New Roman" w:hAnsi="Times New Roman" w:cs="Times New Roman"/>
          <w:sz w:val="28"/>
          <w:szCs w:val="28"/>
        </w:rPr>
        <w:t xml:space="preserve"> как на уровне потребления, так и на уровне производства </w:t>
      </w:r>
      <w:r w:rsidR="005A3E2E">
        <w:rPr>
          <w:rFonts w:ascii="Times New Roman" w:hAnsi="Times New Roman" w:cs="Times New Roman"/>
          <w:sz w:val="28"/>
          <w:szCs w:val="28"/>
        </w:rPr>
        <w:t>(</w:t>
      </w:r>
      <w:r w:rsidRPr="00C17FB0">
        <w:rPr>
          <w:rFonts w:ascii="Times New Roman" w:hAnsi="Times New Roman" w:cs="Times New Roman"/>
          <w:sz w:val="28"/>
          <w:szCs w:val="28"/>
          <w:lang w:val="en-US"/>
        </w:rPr>
        <w:t>OECD</w:t>
      </w:r>
      <w:r w:rsidRPr="00C17FB0">
        <w:rPr>
          <w:rFonts w:ascii="Times New Roman" w:hAnsi="Times New Roman" w:cs="Times New Roman"/>
          <w:sz w:val="28"/>
          <w:szCs w:val="28"/>
        </w:rPr>
        <w:t>, 2018</w:t>
      </w:r>
      <w:r w:rsidR="005A3E2E">
        <w:rPr>
          <w:rFonts w:ascii="Times New Roman" w:hAnsi="Times New Roman" w:cs="Times New Roman"/>
          <w:sz w:val="28"/>
          <w:szCs w:val="28"/>
        </w:rPr>
        <w:t>)</w:t>
      </w:r>
      <w:r w:rsidRPr="00C17FB0">
        <w:rPr>
          <w:rFonts w:ascii="Times New Roman" w:hAnsi="Times New Roman" w:cs="Times New Roman"/>
          <w:sz w:val="28"/>
          <w:szCs w:val="28"/>
        </w:rPr>
        <w:t xml:space="preserve">. Со временем меры экономической политики все в большей степени способствуют изменению условий </w:t>
      </w:r>
      <w:proofErr w:type="spellStart"/>
      <w:r w:rsidRPr="00C17FB0">
        <w:rPr>
          <w:rFonts w:ascii="Times New Roman" w:hAnsi="Times New Roman" w:cs="Times New Roman"/>
          <w:sz w:val="28"/>
          <w:szCs w:val="28"/>
        </w:rPr>
        <w:t>межтопливной</w:t>
      </w:r>
      <w:proofErr w:type="spellEnd"/>
      <w:r w:rsidRPr="00C17FB0">
        <w:rPr>
          <w:rFonts w:ascii="Times New Roman" w:hAnsi="Times New Roman" w:cs="Times New Roman"/>
          <w:sz w:val="28"/>
          <w:szCs w:val="28"/>
        </w:rPr>
        <w:t xml:space="preserve"> конкуренции в сторону укрепления положения </w:t>
      </w:r>
      <w:proofErr w:type="spellStart"/>
      <w:r w:rsidRPr="00C17FB0">
        <w:rPr>
          <w:rFonts w:ascii="Times New Roman" w:hAnsi="Times New Roman" w:cs="Times New Roman"/>
          <w:sz w:val="28"/>
          <w:szCs w:val="28"/>
        </w:rPr>
        <w:t>низкоуглеродных</w:t>
      </w:r>
      <w:proofErr w:type="spellEnd"/>
      <w:r w:rsidRPr="00C17FB0">
        <w:rPr>
          <w:rFonts w:ascii="Times New Roman" w:hAnsi="Times New Roman" w:cs="Times New Roman"/>
          <w:sz w:val="28"/>
          <w:szCs w:val="28"/>
        </w:rPr>
        <w:t xml:space="preserve"> источников энергии и постепенного вытеснения </w:t>
      </w:r>
      <w:proofErr w:type="spellStart"/>
      <w:r w:rsidRPr="00C17FB0">
        <w:rPr>
          <w:rFonts w:ascii="Times New Roman" w:hAnsi="Times New Roman" w:cs="Times New Roman"/>
          <w:sz w:val="28"/>
          <w:szCs w:val="28"/>
        </w:rPr>
        <w:t>углеродоемкого</w:t>
      </w:r>
      <w:proofErr w:type="spellEnd"/>
      <w:r w:rsidRPr="00C17FB0">
        <w:rPr>
          <w:rFonts w:ascii="Times New Roman" w:hAnsi="Times New Roman" w:cs="Times New Roman"/>
          <w:sz w:val="28"/>
          <w:szCs w:val="28"/>
        </w:rPr>
        <w:t xml:space="preserve"> ископаемого топлива из энергобаланса. Однако если традиционные энергетические налоги (акцизы на топливо, налоги на добычу углеводородов и др.) имеют многолетнюю историю, то инструменты </w:t>
      </w:r>
      <w:r w:rsidRPr="00C17FB0">
        <w:rPr>
          <w:rFonts w:ascii="Times New Roman" w:hAnsi="Times New Roman" w:cs="Times New Roman"/>
          <w:sz w:val="28"/>
          <w:szCs w:val="28"/>
        </w:rPr>
        <w:lastRenderedPageBreak/>
        <w:t>углеродного регулирования начали появляться только в 1990-е годы, а активное распространение получили лишь в последнее десятилетие.</w:t>
      </w:r>
    </w:p>
    <w:p w:rsidR="00C17FB0" w:rsidRPr="00C17FB0" w:rsidRDefault="00C17FB0" w:rsidP="00C17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B0">
        <w:rPr>
          <w:rFonts w:ascii="Times New Roman" w:hAnsi="Times New Roman" w:cs="Times New Roman"/>
          <w:sz w:val="28"/>
          <w:szCs w:val="28"/>
        </w:rPr>
        <w:t>Налог на выбросы,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B0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B0">
        <w:rPr>
          <w:rFonts w:ascii="Times New Roman" w:hAnsi="Times New Roman" w:cs="Times New Roman"/>
          <w:sz w:val="28"/>
          <w:szCs w:val="28"/>
        </w:rPr>
        <w:t xml:space="preserve">как и </w:t>
      </w:r>
      <w:r w:rsidR="000F3604">
        <w:rPr>
          <w:rFonts w:ascii="Times New Roman" w:hAnsi="Times New Roman" w:cs="Times New Roman"/>
          <w:sz w:val="28"/>
          <w:szCs w:val="28"/>
        </w:rPr>
        <w:t>СТВ</w:t>
      </w:r>
      <w:r w:rsidRPr="00C17FB0">
        <w:rPr>
          <w:rFonts w:ascii="Times New Roman" w:hAnsi="Times New Roman" w:cs="Times New Roman"/>
          <w:sz w:val="28"/>
          <w:szCs w:val="28"/>
        </w:rPr>
        <w:t xml:space="preserve">, устанавливает цену на единицу выбросов, тем самым создавая стимулы к их сокращению для предприятий-эмитентов при производстве товаров и услуг. Если регулирование затрагивает энергетический сектор, цена устанавливается в соответствии с объемом углерода, содержащегося в том или ином виде ископаемого топлива (уголь, нефть, природный газ или продукты их переработки) и освобождающегося в процессе его сжигания. Прочие энергетические налоги, хотя косвенно и способствуют снижению парниковых выбросов, преимущественно имеют иную налоговую базу – ставка налога устанавливается соразмерно с объемом использованной энергии, а не объемом углерода, содержащимся в ней </w:t>
      </w:r>
      <w:r w:rsidR="005A3E2E">
        <w:rPr>
          <w:rFonts w:ascii="Times New Roman" w:hAnsi="Times New Roman" w:cs="Times New Roman"/>
          <w:sz w:val="28"/>
          <w:szCs w:val="28"/>
        </w:rPr>
        <w:t>(</w:t>
      </w:r>
      <w:r w:rsidRPr="00C17FB0">
        <w:rPr>
          <w:rFonts w:ascii="Times New Roman" w:hAnsi="Times New Roman" w:cs="Times New Roman"/>
          <w:sz w:val="28"/>
          <w:szCs w:val="28"/>
          <w:lang w:val="en-US"/>
        </w:rPr>
        <w:t>Speck</w:t>
      </w:r>
      <w:r w:rsidRPr="00C17FB0">
        <w:rPr>
          <w:rFonts w:ascii="Times New Roman" w:hAnsi="Times New Roman" w:cs="Times New Roman"/>
          <w:sz w:val="28"/>
          <w:szCs w:val="28"/>
        </w:rPr>
        <w:t>, 2008</w:t>
      </w:r>
      <w:r w:rsidR="005A3E2E">
        <w:rPr>
          <w:rFonts w:ascii="Times New Roman" w:hAnsi="Times New Roman" w:cs="Times New Roman"/>
          <w:sz w:val="28"/>
          <w:szCs w:val="28"/>
        </w:rPr>
        <w:t>)</w:t>
      </w:r>
      <w:r w:rsidRPr="00C17FB0">
        <w:rPr>
          <w:rFonts w:ascii="Times New Roman" w:hAnsi="Times New Roman" w:cs="Times New Roman"/>
          <w:sz w:val="28"/>
          <w:szCs w:val="28"/>
        </w:rPr>
        <w:t xml:space="preserve">. Изменение ставки прочих энергетических налогов, в отличие от изменения цены на углерод (будь то углеродный налог или цена на разрешения в </w:t>
      </w:r>
      <w:r w:rsidR="000F3604">
        <w:rPr>
          <w:rFonts w:ascii="Times New Roman" w:hAnsi="Times New Roman" w:cs="Times New Roman"/>
          <w:sz w:val="28"/>
          <w:szCs w:val="28"/>
        </w:rPr>
        <w:t>СТВ</w:t>
      </w:r>
      <w:r w:rsidRPr="00C17FB0">
        <w:rPr>
          <w:rFonts w:ascii="Times New Roman" w:hAnsi="Times New Roman" w:cs="Times New Roman"/>
          <w:sz w:val="28"/>
          <w:szCs w:val="28"/>
        </w:rPr>
        <w:t xml:space="preserve">), при прочих равных оказывает меньшее воздействие на изменение объема совокупных выбросов в экономике. </w:t>
      </w:r>
    </w:p>
    <w:p w:rsidR="00C17FB0" w:rsidRPr="00C17FB0" w:rsidRDefault="00C17FB0" w:rsidP="00C17FB0">
      <w:pPr>
        <w:tabs>
          <w:tab w:val="left" w:pos="39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B0">
        <w:rPr>
          <w:rFonts w:ascii="Times New Roman" w:hAnsi="Times New Roman" w:cs="Times New Roman"/>
          <w:sz w:val="28"/>
          <w:szCs w:val="28"/>
        </w:rPr>
        <w:t xml:space="preserve">В этой связи неудивительно, что в академической литературе именно «прямые» инструменты регулирования выбросов (углеродный налог и </w:t>
      </w:r>
      <w:r w:rsidR="000F3604">
        <w:rPr>
          <w:rFonts w:ascii="Times New Roman" w:hAnsi="Times New Roman" w:cs="Times New Roman"/>
          <w:sz w:val="28"/>
          <w:szCs w:val="28"/>
        </w:rPr>
        <w:t>СТВ</w:t>
      </w:r>
      <w:r w:rsidRPr="00C17FB0">
        <w:rPr>
          <w:rFonts w:ascii="Times New Roman" w:hAnsi="Times New Roman" w:cs="Times New Roman"/>
          <w:sz w:val="28"/>
          <w:szCs w:val="28"/>
        </w:rPr>
        <w:t xml:space="preserve">) занимают центральное место при анализе воздействия мер экономической </w:t>
      </w:r>
      <w:proofErr w:type="gramStart"/>
      <w:r w:rsidRPr="00C17FB0">
        <w:rPr>
          <w:rFonts w:ascii="Times New Roman" w:hAnsi="Times New Roman" w:cs="Times New Roman"/>
          <w:sz w:val="28"/>
          <w:szCs w:val="28"/>
        </w:rPr>
        <w:t>политики на объем</w:t>
      </w:r>
      <w:proofErr w:type="gramEnd"/>
      <w:r w:rsidRPr="00C17FB0">
        <w:rPr>
          <w:rFonts w:ascii="Times New Roman" w:hAnsi="Times New Roman" w:cs="Times New Roman"/>
          <w:sz w:val="28"/>
          <w:szCs w:val="28"/>
        </w:rPr>
        <w:t xml:space="preserve"> парниковых выбросов </w:t>
      </w:r>
      <w:r w:rsidR="005A3E2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7FB0">
        <w:rPr>
          <w:rFonts w:ascii="Times New Roman" w:hAnsi="Times New Roman" w:cs="Times New Roman"/>
          <w:sz w:val="28"/>
          <w:szCs w:val="28"/>
          <w:lang w:val="en-GB"/>
        </w:rPr>
        <w:t>Pizer</w:t>
      </w:r>
      <w:proofErr w:type="spellEnd"/>
      <w:r w:rsidRPr="00C17FB0">
        <w:rPr>
          <w:rFonts w:ascii="Times New Roman" w:hAnsi="Times New Roman" w:cs="Times New Roman"/>
          <w:sz w:val="28"/>
          <w:szCs w:val="28"/>
        </w:rPr>
        <w:t xml:space="preserve">, 2002; </w:t>
      </w:r>
      <w:proofErr w:type="spellStart"/>
      <w:r w:rsidRPr="00C17FB0">
        <w:rPr>
          <w:rFonts w:ascii="Times New Roman" w:hAnsi="Times New Roman" w:cs="Times New Roman"/>
          <w:sz w:val="28"/>
          <w:szCs w:val="28"/>
          <w:lang w:val="en-GB"/>
        </w:rPr>
        <w:t>Hoel</w:t>
      </w:r>
      <w:proofErr w:type="spellEnd"/>
      <w:r w:rsidRPr="00C17FB0">
        <w:rPr>
          <w:rFonts w:ascii="Times New Roman" w:hAnsi="Times New Roman" w:cs="Times New Roman"/>
          <w:sz w:val="28"/>
          <w:szCs w:val="28"/>
        </w:rPr>
        <w:t xml:space="preserve">, </w:t>
      </w:r>
      <w:r w:rsidRPr="00C17FB0">
        <w:rPr>
          <w:rFonts w:ascii="Times New Roman" w:hAnsi="Times New Roman" w:cs="Times New Roman"/>
          <w:sz w:val="28"/>
          <w:szCs w:val="28"/>
          <w:lang w:val="en-GB"/>
        </w:rPr>
        <w:t>Karp</w:t>
      </w:r>
      <w:r w:rsidRPr="00C17FB0">
        <w:rPr>
          <w:rFonts w:ascii="Times New Roman" w:hAnsi="Times New Roman" w:cs="Times New Roman"/>
          <w:sz w:val="28"/>
          <w:szCs w:val="28"/>
        </w:rPr>
        <w:t xml:space="preserve">, 2001; </w:t>
      </w:r>
      <w:proofErr w:type="spellStart"/>
      <w:r w:rsidRPr="00C17FB0">
        <w:rPr>
          <w:rFonts w:ascii="Times New Roman" w:hAnsi="Times New Roman" w:cs="Times New Roman"/>
          <w:sz w:val="28"/>
          <w:szCs w:val="28"/>
          <w:lang w:val="en-GB"/>
        </w:rPr>
        <w:t>Goulder</w:t>
      </w:r>
      <w:proofErr w:type="spellEnd"/>
      <w:r w:rsidRPr="00C17FB0">
        <w:rPr>
          <w:rFonts w:ascii="Times New Roman" w:hAnsi="Times New Roman" w:cs="Times New Roman"/>
          <w:sz w:val="28"/>
          <w:szCs w:val="28"/>
        </w:rPr>
        <w:t xml:space="preserve">, </w:t>
      </w:r>
      <w:r w:rsidRPr="00C17F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Schein</w:t>
      </w:r>
      <w:r w:rsidRPr="00C17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2009; </w:t>
      </w:r>
      <w:proofErr w:type="spellStart"/>
      <w:r w:rsidRPr="00C17FB0">
        <w:rPr>
          <w:rFonts w:ascii="Times New Roman" w:hAnsi="Times New Roman" w:cs="Times New Roman"/>
          <w:sz w:val="28"/>
          <w:szCs w:val="28"/>
          <w:lang w:val="en-GB"/>
        </w:rPr>
        <w:t>Stavins</w:t>
      </w:r>
      <w:proofErr w:type="spellEnd"/>
      <w:r w:rsidRPr="00C17FB0">
        <w:rPr>
          <w:rFonts w:ascii="Times New Roman" w:hAnsi="Times New Roman" w:cs="Times New Roman"/>
          <w:sz w:val="28"/>
          <w:szCs w:val="28"/>
        </w:rPr>
        <w:t xml:space="preserve">, 2007; Макаров, Степанов, 2017; Башмаков, 2018; </w:t>
      </w:r>
      <w:proofErr w:type="spellStart"/>
      <w:r w:rsidRPr="00C17FB0">
        <w:rPr>
          <w:rFonts w:ascii="Times New Roman" w:hAnsi="Times New Roman" w:cs="Times New Roman"/>
          <w:sz w:val="28"/>
          <w:szCs w:val="28"/>
        </w:rPr>
        <w:t>Аверченков</w:t>
      </w:r>
      <w:proofErr w:type="spellEnd"/>
      <w:r w:rsidRPr="00C17F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FB0">
        <w:rPr>
          <w:rFonts w:ascii="Times New Roman" w:hAnsi="Times New Roman" w:cs="Times New Roman"/>
          <w:sz w:val="28"/>
          <w:szCs w:val="28"/>
        </w:rPr>
        <w:t>Галенович</w:t>
      </w:r>
      <w:proofErr w:type="spellEnd"/>
      <w:r w:rsidRPr="00C17FB0">
        <w:rPr>
          <w:rFonts w:ascii="Times New Roman" w:hAnsi="Times New Roman" w:cs="Times New Roman"/>
          <w:sz w:val="28"/>
          <w:szCs w:val="28"/>
        </w:rPr>
        <w:t xml:space="preserve"> и др., 2013</w:t>
      </w:r>
      <w:r w:rsidR="005A3E2E">
        <w:rPr>
          <w:rFonts w:ascii="Times New Roman" w:hAnsi="Times New Roman" w:cs="Times New Roman"/>
          <w:sz w:val="28"/>
          <w:szCs w:val="28"/>
        </w:rPr>
        <w:t>)</w:t>
      </w:r>
      <w:r w:rsidRPr="00C17FB0">
        <w:rPr>
          <w:rFonts w:ascii="Times New Roman" w:hAnsi="Times New Roman" w:cs="Times New Roman"/>
          <w:sz w:val="28"/>
          <w:szCs w:val="28"/>
        </w:rPr>
        <w:t xml:space="preserve">. Чаще всего анализ сводится к обсуждению относительной эффективности углеродного налога, </w:t>
      </w:r>
      <w:r w:rsidR="000F3604">
        <w:rPr>
          <w:rFonts w:ascii="Times New Roman" w:hAnsi="Times New Roman" w:cs="Times New Roman"/>
          <w:sz w:val="28"/>
          <w:szCs w:val="28"/>
        </w:rPr>
        <w:t>СТВ</w:t>
      </w:r>
      <w:r w:rsidRPr="00C17FB0">
        <w:rPr>
          <w:rFonts w:ascii="Times New Roman" w:hAnsi="Times New Roman" w:cs="Times New Roman"/>
          <w:sz w:val="28"/>
          <w:szCs w:val="28"/>
        </w:rPr>
        <w:t xml:space="preserve"> или их гибридной формы, а также проблем и возможностей их </w:t>
      </w:r>
      <w:proofErr w:type="gramStart"/>
      <w:r w:rsidRPr="00C17FB0">
        <w:rPr>
          <w:rFonts w:ascii="Times New Roman" w:hAnsi="Times New Roman" w:cs="Times New Roman"/>
          <w:sz w:val="28"/>
          <w:szCs w:val="28"/>
        </w:rPr>
        <w:t>внедрения</w:t>
      </w:r>
      <w:proofErr w:type="gramEnd"/>
      <w:r w:rsidRPr="00C17FB0">
        <w:rPr>
          <w:rFonts w:ascii="Times New Roman" w:hAnsi="Times New Roman" w:cs="Times New Roman"/>
          <w:sz w:val="28"/>
          <w:szCs w:val="28"/>
        </w:rPr>
        <w:t xml:space="preserve"> как в теоретическом плане, так и с точки зрения использования в конкретной рыночной и институциональной среде. Вместе с тем весьма ограничен объем исследований, посвященных анализу совокупности энергетических налогов в части их влияния на динамику выбросов парниковых газов </w:t>
      </w:r>
      <w:r w:rsidR="005A3E2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7FB0">
        <w:rPr>
          <w:rFonts w:ascii="Times New Roman" w:hAnsi="Times New Roman" w:cs="Times New Roman"/>
          <w:sz w:val="28"/>
          <w:szCs w:val="28"/>
        </w:rPr>
        <w:t>Jeffrey</w:t>
      </w:r>
      <w:proofErr w:type="spellEnd"/>
      <w:r w:rsidRPr="00C17F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FB0">
        <w:rPr>
          <w:rFonts w:ascii="Times New Roman" w:hAnsi="Times New Roman" w:cs="Times New Roman"/>
          <w:sz w:val="28"/>
          <w:szCs w:val="28"/>
        </w:rPr>
        <w:t>Perkins</w:t>
      </w:r>
      <w:proofErr w:type="spellEnd"/>
      <w:r w:rsidRPr="00C17FB0">
        <w:rPr>
          <w:rFonts w:ascii="Times New Roman" w:hAnsi="Times New Roman" w:cs="Times New Roman"/>
          <w:sz w:val="28"/>
          <w:szCs w:val="28"/>
        </w:rPr>
        <w:t>, 2015</w:t>
      </w:r>
      <w:r w:rsidR="005A3E2E">
        <w:rPr>
          <w:rFonts w:ascii="Times New Roman" w:hAnsi="Times New Roman" w:cs="Times New Roman"/>
          <w:sz w:val="28"/>
          <w:szCs w:val="28"/>
        </w:rPr>
        <w:t>)</w:t>
      </w:r>
      <w:r w:rsidRPr="00C17FB0">
        <w:rPr>
          <w:rFonts w:ascii="Times New Roman" w:hAnsi="Times New Roman" w:cs="Times New Roman"/>
          <w:sz w:val="28"/>
          <w:szCs w:val="28"/>
        </w:rPr>
        <w:t xml:space="preserve">. И даже они не дают ответа на вопрос об относительной роли прочих </w:t>
      </w:r>
      <w:r w:rsidRPr="00C17FB0">
        <w:rPr>
          <w:rFonts w:ascii="Times New Roman" w:hAnsi="Times New Roman" w:cs="Times New Roman"/>
          <w:sz w:val="28"/>
          <w:szCs w:val="28"/>
        </w:rPr>
        <w:lastRenderedPageBreak/>
        <w:t xml:space="preserve">энергетических налогов, углеродного налога и </w:t>
      </w:r>
      <w:r w:rsidR="000F3604">
        <w:rPr>
          <w:rFonts w:ascii="Times New Roman" w:hAnsi="Times New Roman" w:cs="Times New Roman"/>
          <w:sz w:val="28"/>
          <w:szCs w:val="28"/>
        </w:rPr>
        <w:t>СТВ</w:t>
      </w:r>
      <w:r w:rsidRPr="00C17FB0">
        <w:rPr>
          <w:rFonts w:ascii="Times New Roman" w:hAnsi="Times New Roman" w:cs="Times New Roman"/>
          <w:sz w:val="28"/>
          <w:szCs w:val="28"/>
        </w:rPr>
        <w:t xml:space="preserve"> в регулировании парниковых выбросов. Это ведет к ситуации, что зачастую в научных и политических </w:t>
      </w:r>
      <w:r w:rsidRPr="00283244">
        <w:rPr>
          <w:rFonts w:ascii="Times New Roman" w:hAnsi="Times New Roman" w:cs="Times New Roman"/>
          <w:sz w:val="28"/>
          <w:szCs w:val="28"/>
        </w:rPr>
        <w:t xml:space="preserve">дискуссиях эффект «прямых» ценовых сигналов (углеродного налога и </w:t>
      </w:r>
      <w:r w:rsidR="000F3604">
        <w:rPr>
          <w:rFonts w:ascii="Times New Roman" w:hAnsi="Times New Roman" w:cs="Times New Roman"/>
          <w:sz w:val="28"/>
          <w:szCs w:val="28"/>
        </w:rPr>
        <w:t>СТВ</w:t>
      </w:r>
      <w:r w:rsidRPr="00283244">
        <w:rPr>
          <w:rFonts w:ascii="Times New Roman" w:hAnsi="Times New Roman" w:cs="Times New Roman"/>
          <w:sz w:val="28"/>
          <w:szCs w:val="28"/>
        </w:rPr>
        <w:t>) переоценивается или учитывается безотносительно «косвенных» ценовых сигналов (прочих энергетических налогов), которые составляют</w:t>
      </w:r>
      <w:r w:rsidRPr="00C17FB0">
        <w:rPr>
          <w:rFonts w:ascii="Times New Roman" w:hAnsi="Times New Roman" w:cs="Times New Roman"/>
          <w:sz w:val="28"/>
          <w:szCs w:val="28"/>
        </w:rPr>
        <w:t xml:space="preserve"> каркас системы фискального регулирования энергетического сектора. </w:t>
      </w:r>
    </w:p>
    <w:p w:rsidR="00C17FB0" w:rsidRPr="00C17FB0" w:rsidRDefault="00C17FB0" w:rsidP="000F3604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B0">
        <w:rPr>
          <w:rFonts w:ascii="Times New Roman" w:hAnsi="Times New Roman" w:cs="Times New Roman"/>
          <w:sz w:val="28"/>
          <w:szCs w:val="28"/>
        </w:rPr>
        <w:t xml:space="preserve">В то же время сила воздействия того или иного фискального инструмента на объем выбросов в конечном счете зависит не только от величины и качества ценового сигнала (размера ставки налога или налоговой базы), но от масштабов его применения, − от того, какой объем выбросов он охватывает. Энергетические налоги исторически имеют существенно более широкую институциональную основу, распространяются на большее количество секторов экономики и охватывают значительно больший спектр источников выбросов нежели «прямые» инструменты регулирования выбросов </w:t>
      </w:r>
      <w:r w:rsidR="005A3E2E">
        <w:rPr>
          <w:rFonts w:ascii="Times New Roman" w:hAnsi="Times New Roman" w:cs="Times New Roman"/>
          <w:sz w:val="28"/>
          <w:szCs w:val="28"/>
        </w:rPr>
        <w:t>(</w:t>
      </w:r>
      <w:r w:rsidRPr="00C17FB0">
        <w:rPr>
          <w:rFonts w:ascii="Times New Roman" w:hAnsi="Times New Roman" w:cs="Times New Roman"/>
          <w:sz w:val="28"/>
          <w:szCs w:val="28"/>
          <w:lang w:val="en-US"/>
        </w:rPr>
        <w:t>OECD</w:t>
      </w:r>
      <w:r w:rsidRPr="00C17FB0">
        <w:rPr>
          <w:rFonts w:ascii="Times New Roman" w:hAnsi="Times New Roman" w:cs="Times New Roman"/>
          <w:sz w:val="28"/>
          <w:szCs w:val="28"/>
        </w:rPr>
        <w:t>, 2018</w:t>
      </w:r>
      <w:r w:rsidR="005A3E2E">
        <w:rPr>
          <w:rFonts w:ascii="Times New Roman" w:hAnsi="Times New Roman" w:cs="Times New Roman"/>
          <w:sz w:val="28"/>
          <w:szCs w:val="28"/>
        </w:rPr>
        <w:t>)</w:t>
      </w:r>
      <w:r w:rsidRPr="00C17FB0">
        <w:rPr>
          <w:rFonts w:ascii="Times New Roman" w:hAnsi="Times New Roman" w:cs="Times New Roman"/>
          <w:sz w:val="28"/>
          <w:szCs w:val="28"/>
        </w:rPr>
        <w:t xml:space="preserve">. Так, наиболее крупная из всех ныне действующих Европейская система торговли </w:t>
      </w:r>
      <w:r w:rsidR="000F3604">
        <w:rPr>
          <w:rFonts w:ascii="Times New Roman" w:hAnsi="Times New Roman" w:cs="Times New Roman"/>
          <w:sz w:val="28"/>
          <w:szCs w:val="28"/>
        </w:rPr>
        <w:t>выбросами</w:t>
      </w:r>
      <w:r w:rsidRPr="00C17FB0">
        <w:rPr>
          <w:rFonts w:ascii="Times New Roman" w:hAnsi="Times New Roman" w:cs="Times New Roman"/>
          <w:sz w:val="28"/>
          <w:szCs w:val="28"/>
        </w:rPr>
        <w:t xml:space="preserve"> (Е</w:t>
      </w:r>
      <w:r w:rsidR="000F3604">
        <w:rPr>
          <w:rFonts w:ascii="Times New Roman" w:hAnsi="Times New Roman" w:cs="Times New Roman"/>
          <w:sz w:val="28"/>
          <w:szCs w:val="28"/>
        </w:rPr>
        <w:t>СТВ</w:t>
      </w:r>
      <w:r w:rsidRPr="00C17FB0">
        <w:rPr>
          <w:rFonts w:ascii="Times New Roman" w:hAnsi="Times New Roman" w:cs="Times New Roman"/>
          <w:sz w:val="28"/>
          <w:szCs w:val="28"/>
        </w:rPr>
        <w:t xml:space="preserve">) покрывает менее половины выбросов ЕС </w:t>
      </w:r>
      <w:r w:rsidR="005A3E2E">
        <w:rPr>
          <w:rFonts w:ascii="Times New Roman" w:hAnsi="Times New Roman" w:cs="Times New Roman"/>
          <w:sz w:val="28"/>
          <w:szCs w:val="28"/>
        </w:rPr>
        <w:t>(</w:t>
      </w:r>
      <w:r w:rsidRPr="00C17FB0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C17FB0">
        <w:rPr>
          <w:rFonts w:ascii="Times New Roman" w:hAnsi="Times New Roman" w:cs="Times New Roman"/>
          <w:sz w:val="28"/>
          <w:szCs w:val="28"/>
        </w:rPr>
        <w:t xml:space="preserve"> </w:t>
      </w:r>
      <w:r w:rsidRPr="00C17FB0">
        <w:rPr>
          <w:rFonts w:ascii="Times New Roman" w:hAnsi="Times New Roman" w:cs="Times New Roman"/>
          <w:sz w:val="28"/>
          <w:szCs w:val="28"/>
          <w:lang w:val="en-US"/>
        </w:rPr>
        <w:t>Commission</w:t>
      </w:r>
      <w:r w:rsidR="005A3E2E">
        <w:rPr>
          <w:rFonts w:ascii="Times New Roman" w:hAnsi="Times New Roman" w:cs="Times New Roman"/>
          <w:sz w:val="28"/>
          <w:szCs w:val="28"/>
        </w:rPr>
        <w:t>)</w:t>
      </w:r>
      <w:r w:rsidRPr="00C17F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B9D" w:rsidRDefault="00C17FB0" w:rsidP="00445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B0">
        <w:rPr>
          <w:rFonts w:ascii="Times New Roman" w:hAnsi="Times New Roman" w:cs="Times New Roman"/>
          <w:sz w:val="28"/>
          <w:szCs w:val="28"/>
        </w:rPr>
        <w:t xml:space="preserve">В условиях существенно меньшего охвата источников выбросов углеродными налогами и </w:t>
      </w:r>
      <w:r w:rsidR="000F3604">
        <w:rPr>
          <w:rFonts w:ascii="Times New Roman" w:hAnsi="Times New Roman" w:cs="Times New Roman"/>
          <w:sz w:val="28"/>
          <w:szCs w:val="28"/>
        </w:rPr>
        <w:t>СТВ</w:t>
      </w:r>
      <w:r w:rsidRPr="00C17FB0">
        <w:rPr>
          <w:rFonts w:ascii="Times New Roman" w:hAnsi="Times New Roman" w:cs="Times New Roman"/>
          <w:sz w:val="28"/>
          <w:szCs w:val="28"/>
        </w:rPr>
        <w:t xml:space="preserve">, соразмерное изменение ставок энергетических налогов может играть значительно большую роль в снижении выбросов или, наоборот, в компенсации эффекта «прямых» инструментов регулирования выбросов, вплоть до сведения его </w:t>
      </w:r>
      <w:proofErr w:type="gramStart"/>
      <w:r w:rsidRPr="00C17F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7FB0">
        <w:rPr>
          <w:rFonts w:ascii="Times New Roman" w:hAnsi="Times New Roman" w:cs="Times New Roman"/>
          <w:sz w:val="28"/>
          <w:szCs w:val="28"/>
        </w:rPr>
        <w:t xml:space="preserve"> нет. Особое значение учет влияния фискального регулирования на объем выбросов в энергетическом секторе имеет для развивающихся стран или стран с переходной экономикой, которые находятся в начале пути формирования или только планируют введение экономической системы регулирования выбросов на основе углеродного налога или </w:t>
      </w:r>
      <w:r w:rsidR="000F3604">
        <w:rPr>
          <w:rFonts w:ascii="Times New Roman" w:hAnsi="Times New Roman" w:cs="Times New Roman"/>
          <w:sz w:val="28"/>
          <w:szCs w:val="28"/>
        </w:rPr>
        <w:t>СТВ</w:t>
      </w:r>
      <w:r w:rsidRPr="00C17F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B9D" w:rsidRDefault="00445B9D" w:rsidP="00445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B9D">
        <w:rPr>
          <w:rFonts w:ascii="Times New Roman" w:hAnsi="Times New Roman" w:cs="Times New Roman"/>
          <w:b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исследования выступает государственная экономическая политика в области регулирования выбросов парниковых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газов, в то время как </w:t>
      </w:r>
      <w:r w:rsidRPr="00445B9D">
        <w:rPr>
          <w:rFonts w:ascii="Times New Roman" w:hAnsi="Times New Roman" w:cs="Times New Roman"/>
          <w:b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– прямые и косвенные инструменты регулирования выбросов парниковых газов. </w:t>
      </w:r>
    </w:p>
    <w:p w:rsidR="00445B9D" w:rsidRPr="00445B9D" w:rsidRDefault="00445B9D" w:rsidP="009A423E">
      <w:pPr>
        <w:pStyle w:val="1"/>
      </w:pPr>
      <w:r w:rsidRPr="00445B9D">
        <w:lastRenderedPageBreak/>
        <w:t>Цели и задачи исследования</w:t>
      </w:r>
    </w:p>
    <w:p w:rsidR="00C17FB0" w:rsidRPr="00445B9D" w:rsidRDefault="00445B9D" w:rsidP="00807A85">
      <w:pPr>
        <w:pStyle w:val="a4"/>
        <w:spacing w:line="360" w:lineRule="auto"/>
        <w:ind w:firstLine="708"/>
        <w:jc w:val="both"/>
        <w:rPr>
          <w:rStyle w:val="12"/>
          <w:b w:val="0"/>
          <w:color w:val="000000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Д</w:t>
      </w:r>
      <w:r w:rsidRPr="00445B9D">
        <w:rPr>
          <w:rFonts w:ascii="Times New Roman" w:eastAsiaTheme="minorHAnsi" w:hAnsi="Times New Roman"/>
          <w:sz w:val="28"/>
          <w:szCs w:val="28"/>
        </w:rPr>
        <w:t xml:space="preserve">анное исследование </w:t>
      </w:r>
      <w:r w:rsidRPr="00445B9D">
        <w:rPr>
          <w:rFonts w:ascii="Times New Roman" w:eastAsiaTheme="minorHAnsi" w:hAnsi="Times New Roman"/>
          <w:b/>
          <w:sz w:val="28"/>
          <w:szCs w:val="28"/>
        </w:rPr>
        <w:t>нацелено</w:t>
      </w:r>
      <w:r w:rsidRPr="00445B9D">
        <w:rPr>
          <w:rFonts w:ascii="Times New Roman" w:eastAsiaTheme="minorHAnsi" w:hAnsi="Times New Roman"/>
          <w:sz w:val="28"/>
          <w:szCs w:val="28"/>
        </w:rPr>
        <w:t xml:space="preserve"> на определение места и роли прямых и косвенных экономических инструментов регулирования выбросов в системе мер климатической политики и выявление ограничений их эффективного использования</w:t>
      </w:r>
      <w:r>
        <w:rPr>
          <w:rFonts w:ascii="Times New Roman" w:eastAsiaTheme="minorHAnsi" w:hAnsi="Times New Roman"/>
          <w:sz w:val="28"/>
          <w:szCs w:val="28"/>
        </w:rPr>
        <w:t>. Для достижения цели ставятся следующие исследовательские задачи:</w:t>
      </w:r>
    </w:p>
    <w:p w:rsidR="00C17FB0" w:rsidRPr="00445B9D" w:rsidRDefault="00C17FB0" w:rsidP="00807A85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B9D">
        <w:rPr>
          <w:rFonts w:ascii="Times New Roman" w:hAnsi="Times New Roman" w:cs="Times New Roman"/>
          <w:sz w:val="28"/>
          <w:szCs w:val="28"/>
        </w:rPr>
        <w:t>Выявление теоретических подходов к экономическому регулированию негативного воздействия хозяйственной деятельности на окружающую среду;</w:t>
      </w:r>
    </w:p>
    <w:p w:rsidR="00C17FB0" w:rsidRPr="00445B9D" w:rsidRDefault="00C17FB0" w:rsidP="00807A85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B9D">
        <w:rPr>
          <w:rFonts w:ascii="Times New Roman" w:hAnsi="Times New Roman" w:cs="Times New Roman"/>
          <w:sz w:val="28"/>
          <w:szCs w:val="28"/>
        </w:rPr>
        <w:t>Характеристика цены на углерод, определение ее места в системе мер климатической политики и описание теоретических особенностей ее использования;</w:t>
      </w:r>
    </w:p>
    <w:p w:rsidR="00C17FB0" w:rsidRPr="00445B9D" w:rsidRDefault="00C17FB0" w:rsidP="00807A85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B9D">
        <w:rPr>
          <w:rFonts w:ascii="Times New Roman" w:hAnsi="Times New Roman" w:cs="Times New Roman"/>
          <w:sz w:val="28"/>
          <w:szCs w:val="28"/>
        </w:rPr>
        <w:t>Выявление барьеров эффективного использования цены на углерод в системе мер климатической политики;</w:t>
      </w:r>
    </w:p>
    <w:p w:rsidR="00C17FB0" w:rsidRPr="00445B9D" w:rsidRDefault="00C17FB0" w:rsidP="00807A85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B9D">
        <w:rPr>
          <w:rFonts w:ascii="Times New Roman" w:hAnsi="Times New Roman" w:cs="Times New Roman"/>
          <w:sz w:val="28"/>
          <w:szCs w:val="28"/>
        </w:rPr>
        <w:t>Характеристика экономических инструментов регулирования выбросов, используемых европейскими странами;</w:t>
      </w:r>
    </w:p>
    <w:p w:rsidR="00C17FB0" w:rsidRPr="00445B9D" w:rsidRDefault="00C17FB0" w:rsidP="00807A85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B9D">
        <w:rPr>
          <w:rFonts w:ascii="Times New Roman" w:hAnsi="Times New Roman" w:cs="Times New Roman"/>
          <w:sz w:val="28"/>
          <w:szCs w:val="28"/>
        </w:rPr>
        <w:t>Подсчет вмененной цены на углерод, включающей прямые и косвенные инструменты регулирования выбросов, для ключевых европейских стран;</w:t>
      </w:r>
    </w:p>
    <w:p w:rsidR="00C17FB0" w:rsidRPr="00445B9D" w:rsidRDefault="00C17FB0" w:rsidP="00807A85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B9D">
        <w:rPr>
          <w:rFonts w:ascii="Times New Roman" w:hAnsi="Times New Roman" w:cs="Times New Roman"/>
          <w:sz w:val="28"/>
          <w:szCs w:val="28"/>
        </w:rPr>
        <w:t>Оценка воздействия изменений во вмененной цене на углерод на объем выбросов парниковых газов в европейских странах;</w:t>
      </w:r>
    </w:p>
    <w:p w:rsidR="00C17FB0" w:rsidRPr="00445B9D" w:rsidRDefault="00C17FB0" w:rsidP="00807A85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B9D">
        <w:rPr>
          <w:rFonts w:ascii="Times New Roman" w:hAnsi="Times New Roman" w:cs="Times New Roman"/>
          <w:sz w:val="28"/>
          <w:szCs w:val="28"/>
        </w:rPr>
        <w:t>Оценка и сопоставление силы воздействия прямых и косвенных ценовых сигналов регулирования выбросов парниковых газов в европейских странах;</w:t>
      </w:r>
    </w:p>
    <w:p w:rsidR="00C17FB0" w:rsidRPr="00445B9D" w:rsidRDefault="00C17FB0" w:rsidP="00807A85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B9D">
        <w:rPr>
          <w:rFonts w:ascii="Times New Roman" w:hAnsi="Times New Roman" w:cs="Times New Roman"/>
          <w:sz w:val="28"/>
          <w:szCs w:val="28"/>
        </w:rPr>
        <w:t>Подсчет вмененной цены на углерод для различных типов ископаемого топлива для отдельных стран Европы;</w:t>
      </w:r>
    </w:p>
    <w:p w:rsidR="00445B9D" w:rsidRDefault="00C17FB0" w:rsidP="00807A85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B9D">
        <w:rPr>
          <w:rFonts w:ascii="Times New Roman" w:hAnsi="Times New Roman" w:cs="Times New Roman"/>
          <w:sz w:val="28"/>
          <w:szCs w:val="28"/>
        </w:rPr>
        <w:t>Выявление ключевых особенностей климатической политики России на современном этапе;</w:t>
      </w:r>
      <w:r w:rsidR="00445B9D" w:rsidRPr="00445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B0" w:rsidRPr="00445B9D" w:rsidRDefault="00C17FB0" w:rsidP="00807A85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B9D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рекомендаций по формированию государственной системы </w:t>
      </w:r>
      <w:r w:rsidR="005D104B" w:rsidRPr="00445B9D">
        <w:rPr>
          <w:rFonts w:ascii="Times New Roman" w:hAnsi="Times New Roman" w:cs="Times New Roman"/>
          <w:sz w:val="28"/>
          <w:szCs w:val="28"/>
        </w:rPr>
        <w:t>регулирования парниковых</w:t>
      </w:r>
      <w:r w:rsidRPr="00445B9D">
        <w:rPr>
          <w:rFonts w:ascii="Times New Roman" w:hAnsi="Times New Roman" w:cs="Times New Roman"/>
          <w:sz w:val="28"/>
          <w:szCs w:val="28"/>
        </w:rPr>
        <w:t xml:space="preserve"> выбросов в России.</w:t>
      </w:r>
    </w:p>
    <w:p w:rsidR="000663D8" w:rsidRPr="00FF1CC1" w:rsidRDefault="000663D8" w:rsidP="009A423E">
      <w:pPr>
        <w:pStyle w:val="1"/>
        <w:rPr>
          <w:rStyle w:val="12"/>
          <w:b/>
          <w:shd w:val="clear" w:color="auto" w:fill="auto"/>
        </w:rPr>
      </w:pPr>
      <w:r w:rsidRPr="00FF1CC1">
        <w:rPr>
          <w:rStyle w:val="12"/>
          <w:b/>
          <w:shd w:val="clear" w:color="auto" w:fill="auto"/>
        </w:rPr>
        <w:lastRenderedPageBreak/>
        <w:t>Степень разработанности темы исследования</w:t>
      </w:r>
    </w:p>
    <w:p w:rsidR="00D50B11" w:rsidRDefault="00283244" w:rsidP="00283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Инструментам климатической политики посвящен широкий спектр теоретических и эмпирических работ. </w:t>
      </w:r>
      <w:r w:rsidR="00D50B11">
        <w:rPr>
          <w:rFonts w:ascii="Times New Roman" w:hAnsi="Times New Roman" w:cs="Times New Roman"/>
          <w:sz w:val="28"/>
          <w:szCs w:val="28"/>
        </w:rPr>
        <w:t>Литературу</w:t>
      </w:r>
      <w:r w:rsidR="007D2A98">
        <w:rPr>
          <w:rFonts w:ascii="Times New Roman" w:hAnsi="Times New Roman" w:cs="Times New Roman"/>
          <w:sz w:val="28"/>
          <w:szCs w:val="28"/>
        </w:rPr>
        <w:t xml:space="preserve"> по</w:t>
      </w:r>
      <w:r w:rsidR="00D50B11">
        <w:rPr>
          <w:rFonts w:ascii="Times New Roman" w:hAnsi="Times New Roman" w:cs="Times New Roman"/>
          <w:sz w:val="28"/>
          <w:szCs w:val="28"/>
        </w:rPr>
        <w:t xml:space="preserve"> экономическим инструментам климатической политики, можно условно разбить на четыре блока. Во-первых, это работы, направленные на выявление оптимального уровня цен на выбросы, в наибольшей степени соответствующего целям долгосрочного устойчивого развития отдельной страны или мировой экономики. Во-вторых, это работы, посвященные выбору инструментов регулирования, сопоставления их экономической эффективности при изменении тех или иных модельных предпосыл</w:t>
      </w:r>
      <w:r w:rsidR="009F21D6">
        <w:rPr>
          <w:rFonts w:ascii="Times New Roman" w:hAnsi="Times New Roman" w:cs="Times New Roman"/>
          <w:sz w:val="28"/>
          <w:szCs w:val="28"/>
        </w:rPr>
        <w:t>ок или специфики развития разных стран</w:t>
      </w:r>
      <w:r w:rsidR="00D50B11">
        <w:rPr>
          <w:rFonts w:ascii="Times New Roman" w:hAnsi="Times New Roman" w:cs="Times New Roman"/>
          <w:sz w:val="28"/>
          <w:szCs w:val="28"/>
        </w:rPr>
        <w:t xml:space="preserve">. В-третьих, </w:t>
      </w:r>
      <w:r w:rsidR="007D2A98">
        <w:rPr>
          <w:rFonts w:ascii="Times New Roman" w:hAnsi="Times New Roman" w:cs="Times New Roman"/>
          <w:sz w:val="28"/>
          <w:szCs w:val="28"/>
        </w:rPr>
        <w:t>это эмпирические работы</w:t>
      </w:r>
      <w:r w:rsidR="00D50B11">
        <w:rPr>
          <w:rFonts w:ascii="Times New Roman" w:hAnsi="Times New Roman" w:cs="Times New Roman"/>
          <w:sz w:val="28"/>
          <w:szCs w:val="28"/>
        </w:rPr>
        <w:t>, посвященны</w:t>
      </w:r>
      <w:r w:rsidR="007D2A98">
        <w:rPr>
          <w:rFonts w:ascii="Times New Roman" w:hAnsi="Times New Roman" w:cs="Times New Roman"/>
          <w:sz w:val="28"/>
          <w:szCs w:val="28"/>
        </w:rPr>
        <w:t>е</w:t>
      </w:r>
      <w:r w:rsidR="00D50B11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9F21D6">
        <w:rPr>
          <w:rFonts w:ascii="Times New Roman" w:hAnsi="Times New Roman" w:cs="Times New Roman"/>
          <w:sz w:val="28"/>
          <w:szCs w:val="28"/>
        </w:rPr>
        <w:t>ам</w:t>
      </w:r>
      <w:r w:rsidR="00D50B11">
        <w:rPr>
          <w:rFonts w:ascii="Times New Roman" w:hAnsi="Times New Roman" w:cs="Times New Roman"/>
          <w:sz w:val="28"/>
          <w:szCs w:val="28"/>
        </w:rPr>
        <w:t xml:space="preserve"> результативности использования тех или иных инструментов климатической политики в отдельных странах или регионах мира. Наконец, это ряд </w:t>
      </w:r>
      <w:r w:rsidR="009F21D6">
        <w:rPr>
          <w:rFonts w:ascii="Times New Roman" w:hAnsi="Times New Roman" w:cs="Times New Roman"/>
          <w:sz w:val="28"/>
          <w:szCs w:val="28"/>
        </w:rPr>
        <w:t>академических работ и публикаций международных организаций</w:t>
      </w:r>
      <w:r w:rsidR="00D50B11">
        <w:rPr>
          <w:rFonts w:ascii="Times New Roman" w:hAnsi="Times New Roman" w:cs="Times New Roman"/>
          <w:sz w:val="28"/>
          <w:szCs w:val="28"/>
        </w:rPr>
        <w:t>, посвященных оценке вмененной цен</w:t>
      </w:r>
      <w:r w:rsidR="009F21D6">
        <w:rPr>
          <w:rFonts w:ascii="Times New Roman" w:hAnsi="Times New Roman" w:cs="Times New Roman"/>
          <w:sz w:val="28"/>
          <w:szCs w:val="28"/>
        </w:rPr>
        <w:t>ы</w:t>
      </w:r>
      <w:r w:rsidR="00D50B11">
        <w:rPr>
          <w:rFonts w:ascii="Times New Roman" w:hAnsi="Times New Roman" w:cs="Times New Roman"/>
          <w:sz w:val="28"/>
          <w:szCs w:val="28"/>
        </w:rPr>
        <w:t xml:space="preserve"> на углерод, учитывающей не только прямые, но и косвенные ценовые сигналы, подаваемые регулятором на рынке. В данном разделе будут коротко освещены ключевые </w:t>
      </w:r>
      <w:r w:rsidR="00E54BF1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0F3604">
        <w:rPr>
          <w:rFonts w:ascii="Times New Roman" w:hAnsi="Times New Roman" w:cs="Times New Roman"/>
          <w:sz w:val="28"/>
          <w:szCs w:val="28"/>
        </w:rPr>
        <w:t xml:space="preserve">актуальных </w:t>
      </w:r>
      <w:r w:rsidR="00E54BF1">
        <w:rPr>
          <w:rFonts w:ascii="Times New Roman" w:hAnsi="Times New Roman" w:cs="Times New Roman"/>
          <w:sz w:val="28"/>
          <w:szCs w:val="28"/>
        </w:rPr>
        <w:t>исследовани</w:t>
      </w:r>
      <w:r w:rsidR="000F3604">
        <w:rPr>
          <w:rFonts w:ascii="Times New Roman" w:hAnsi="Times New Roman" w:cs="Times New Roman"/>
          <w:sz w:val="28"/>
          <w:szCs w:val="28"/>
        </w:rPr>
        <w:t>й</w:t>
      </w:r>
      <w:r w:rsidR="00E54BF1">
        <w:rPr>
          <w:rFonts w:ascii="Times New Roman" w:hAnsi="Times New Roman" w:cs="Times New Roman"/>
          <w:sz w:val="28"/>
          <w:szCs w:val="28"/>
        </w:rPr>
        <w:t xml:space="preserve"> и траектории их развития</w:t>
      </w:r>
      <w:r w:rsidR="00D50B11">
        <w:rPr>
          <w:rFonts w:ascii="Times New Roman" w:hAnsi="Times New Roman" w:cs="Times New Roman"/>
          <w:sz w:val="28"/>
          <w:szCs w:val="28"/>
        </w:rPr>
        <w:t xml:space="preserve"> по каждому из четырех блоков.   </w:t>
      </w:r>
    </w:p>
    <w:p w:rsidR="00D50B11" w:rsidRPr="00D50B11" w:rsidRDefault="00D50B11" w:rsidP="00D50B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проблем</w:t>
      </w:r>
      <w:r w:rsidRPr="00D50B11">
        <w:rPr>
          <w:rFonts w:ascii="Times New Roman" w:hAnsi="Times New Roman" w:cs="Times New Roman"/>
          <w:sz w:val="28"/>
          <w:szCs w:val="28"/>
        </w:rPr>
        <w:t xml:space="preserve"> экономики изменения климата является выявление оптимальной скрытой цены («</w:t>
      </w:r>
      <w:r w:rsidRPr="00D50B11">
        <w:rPr>
          <w:rFonts w:ascii="Times New Roman" w:hAnsi="Times New Roman" w:cs="Times New Roman"/>
          <w:sz w:val="28"/>
          <w:szCs w:val="28"/>
          <w:lang w:val="en-US"/>
        </w:rPr>
        <w:t>shadow</w:t>
      </w:r>
      <w:r w:rsidRPr="00D50B11">
        <w:rPr>
          <w:rFonts w:ascii="Times New Roman" w:hAnsi="Times New Roman" w:cs="Times New Roman"/>
          <w:sz w:val="28"/>
          <w:szCs w:val="28"/>
        </w:rPr>
        <w:t xml:space="preserve"> </w:t>
      </w:r>
      <w:r w:rsidRPr="00D50B11">
        <w:rPr>
          <w:rFonts w:ascii="Times New Roman" w:hAnsi="Times New Roman" w:cs="Times New Roman"/>
          <w:sz w:val="28"/>
          <w:szCs w:val="28"/>
          <w:lang w:val="en-US"/>
        </w:rPr>
        <w:t>price</w:t>
      </w:r>
      <w:r w:rsidRPr="00D50B11">
        <w:rPr>
          <w:rFonts w:ascii="Times New Roman" w:hAnsi="Times New Roman" w:cs="Times New Roman"/>
          <w:sz w:val="28"/>
          <w:szCs w:val="28"/>
        </w:rPr>
        <w:t>») на парниковые выбросы (тонны СО</w:t>
      </w:r>
      <w:r w:rsidRPr="00D50B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50B11">
        <w:rPr>
          <w:rFonts w:ascii="Times New Roman" w:hAnsi="Times New Roman" w:cs="Times New Roman"/>
          <w:sz w:val="28"/>
          <w:szCs w:val="28"/>
        </w:rPr>
        <w:t xml:space="preserve"> эквивалента), которая в широком смысле является аргументом функции общественного благосостояния, учитывающей издержки и выгоды от сокращения выбросов в экономике. Ее уровень зависит от множества факторов, среди которых объемы будущего выпуска и потребления, уровень технологического развития и темпы технического прогресса, общественной нормы дисконтирования и др. Фактически речь идет об оценке экономического ущерба от глобального изменения климата в будущем и определении его важности для мира (или отдельной страны) </w:t>
      </w:r>
      <w:r w:rsidRPr="00D50B11">
        <w:rPr>
          <w:rFonts w:ascii="Times New Roman" w:hAnsi="Times New Roman" w:cs="Times New Roman"/>
          <w:sz w:val="28"/>
          <w:szCs w:val="28"/>
        </w:rPr>
        <w:lastRenderedPageBreak/>
        <w:t>сейчас, что необходимо для выработки оптимальной климатической политики.</w:t>
      </w:r>
    </w:p>
    <w:p w:rsidR="00D50B11" w:rsidRPr="00D50B11" w:rsidRDefault="00D50B11" w:rsidP="00D50B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11">
        <w:rPr>
          <w:rFonts w:ascii="Times New Roman" w:hAnsi="Times New Roman" w:cs="Times New Roman"/>
          <w:sz w:val="28"/>
          <w:szCs w:val="28"/>
        </w:rPr>
        <w:t xml:space="preserve">Одной из первых комплексных оценочных моделей была модель </w:t>
      </w:r>
      <w:r w:rsidRPr="00D50B11">
        <w:rPr>
          <w:rFonts w:ascii="Times New Roman" w:hAnsi="Times New Roman" w:cs="Times New Roman"/>
          <w:sz w:val="28"/>
          <w:szCs w:val="28"/>
          <w:lang w:val="en-US"/>
        </w:rPr>
        <w:t>DICE</w:t>
      </w:r>
      <w:r w:rsidRPr="00D50B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0B11">
        <w:rPr>
          <w:rFonts w:ascii="Times New Roman" w:hAnsi="Times New Roman" w:cs="Times New Roman"/>
          <w:sz w:val="28"/>
          <w:szCs w:val="28"/>
        </w:rPr>
        <w:t>Dynamic</w:t>
      </w:r>
      <w:proofErr w:type="spellEnd"/>
      <w:r w:rsidRPr="00D50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11">
        <w:rPr>
          <w:rFonts w:ascii="Times New Roman" w:hAnsi="Times New Roman" w:cs="Times New Roman"/>
          <w:sz w:val="28"/>
          <w:szCs w:val="28"/>
        </w:rPr>
        <w:t>Integrated</w:t>
      </w:r>
      <w:proofErr w:type="spellEnd"/>
      <w:r w:rsidRPr="00D50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11">
        <w:rPr>
          <w:rFonts w:ascii="Times New Roman" w:hAnsi="Times New Roman" w:cs="Times New Roman"/>
          <w:sz w:val="28"/>
          <w:szCs w:val="28"/>
        </w:rPr>
        <w:t>Climate-Economy</w:t>
      </w:r>
      <w:proofErr w:type="spellEnd"/>
      <w:r w:rsidRPr="00D50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11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D50B11">
        <w:rPr>
          <w:rFonts w:ascii="Times New Roman" w:hAnsi="Times New Roman" w:cs="Times New Roman"/>
          <w:sz w:val="28"/>
          <w:szCs w:val="28"/>
        </w:rPr>
        <w:t xml:space="preserve">), разработанная </w:t>
      </w:r>
      <w:proofErr w:type="spellStart"/>
      <w:r w:rsidRPr="00D50B11">
        <w:rPr>
          <w:rFonts w:ascii="Times New Roman" w:hAnsi="Times New Roman" w:cs="Times New Roman"/>
          <w:sz w:val="28"/>
          <w:szCs w:val="28"/>
        </w:rPr>
        <w:t>Нордхаусом</w:t>
      </w:r>
      <w:proofErr w:type="spellEnd"/>
      <w:r w:rsidRPr="00D50B11">
        <w:rPr>
          <w:rFonts w:ascii="Times New Roman" w:hAnsi="Times New Roman" w:cs="Times New Roman"/>
          <w:sz w:val="28"/>
          <w:szCs w:val="28"/>
        </w:rPr>
        <w:t xml:space="preserve"> В., объединяющая в себе модель общего равновесия мировой экономики с моделью климатических изменений (изменение концентрации парниковых газов, средней температуры земли и др.) (</w:t>
      </w:r>
      <w:proofErr w:type="spellStart"/>
      <w:r w:rsidRPr="00D50B11">
        <w:rPr>
          <w:rFonts w:ascii="Times New Roman" w:hAnsi="Times New Roman" w:cs="Times New Roman"/>
          <w:sz w:val="28"/>
          <w:szCs w:val="28"/>
          <w:lang w:val="en-US"/>
        </w:rPr>
        <w:t>Nordhaus</w:t>
      </w:r>
      <w:proofErr w:type="spellEnd"/>
      <w:r w:rsidR="000F3604">
        <w:rPr>
          <w:rFonts w:ascii="Times New Roman" w:hAnsi="Times New Roman" w:cs="Times New Roman"/>
          <w:sz w:val="28"/>
          <w:szCs w:val="28"/>
        </w:rPr>
        <w:t>,</w:t>
      </w:r>
      <w:r w:rsidRPr="00D50B11">
        <w:rPr>
          <w:rFonts w:ascii="Times New Roman" w:hAnsi="Times New Roman" w:cs="Times New Roman"/>
          <w:sz w:val="28"/>
          <w:szCs w:val="28"/>
        </w:rPr>
        <w:t xml:space="preserve"> 1992). В ее основе лежит неоклассическая модель эндогенного экономического роста (Рамсея) и оптимизируемая функция потребления, </w:t>
      </w:r>
      <w:r w:rsidR="009F21D6" w:rsidRPr="00D50B11">
        <w:rPr>
          <w:rFonts w:ascii="Times New Roman" w:hAnsi="Times New Roman" w:cs="Times New Roman"/>
          <w:sz w:val="28"/>
          <w:szCs w:val="28"/>
        </w:rPr>
        <w:t>зависящей, в частности,</w:t>
      </w:r>
      <w:r w:rsidRPr="00D50B11">
        <w:rPr>
          <w:rFonts w:ascii="Times New Roman" w:hAnsi="Times New Roman" w:cs="Times New Roman"/>
          <w:sz w:val="28"/>
          <w:szCs w:val="28"/>
        </w:rPr>
        <w:t xml:space="preserve"> от сокращения выбросов посредством введения углеродного налога (</w:t>
      </w:r>
      <w:proofErr w:type="spellStart"/>
      <w:r w:rsidRPr="00D50B11">
        <w:rPr>
          <w:rFonts w:ascii="Times New Roman" w:hAnsi="Times New Roman" w:cs="Times New Roman"/>
          <w:sz w:val="28"/>
          <w:szCs w:val="28"/>
          <w:lang w:val="en-US"/>
        </w:rPr>
        <w:t>Nordhaus</w:t>
      </w:r>
      <w:proofErr w:type="spellEnd"/>
      <w:r w:rsidR="000F3604">
        <w:rPr>
          <w:rFonts w:ascii="Times New Roman" w:hAnsi="Times New Roman" w:cs="Times New Roman"/>
          <w:sz w:val="28"/>
          <w:szCs w:val="28"/>
        </w:rPr>
        <w:t>,</w:t>
      </w:r>
      <w:r w:rsidRPr="00D50B11">
        <w:rPr>
          <w:rFonts w:ascii="Times New Roman" w:hAnsi="Times New Roman" w:cs="Times New Roman"/>
          <w:sz w:val="28"/>
          <w:szCs w:val="28"/>
        </w:rPr>
        <w:t xml:space="preserve"> 1994). </w:t>
      </w:r>
    </w:p>
    <w:p w:rsidR="00D50B11" w:rsidRDefault="00D50B11" w:rsidP="00D50B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B11">
        <w:rPr>
          <w:rFonts w:ascii="Times New Roman" w:hAnsi="Times New Roman" w:cs="Times New Roman"/>
          <w:sz w:val="28"/>
          <w:szCs w:val="28"/>
        </w:rPr>
        <w:t xml:space="preserve">С 1990-х годов анализ на базе этой модели развивается в части: </w:t>
      </w:r>
      <w:r w:rsidRPr="00D50B11">
        <w:rPr>
          <w:rFonts w:ascii="Times New Roman" w:hAnsi="Times New Roman" w:cs="Times New Roman"/>
          <w:b/>
          <w:sz w:val="28"/>
          <w:szCs w:val="28"/>
        </w:rPr>
        <w:t>а)</w:t>
      </w:r>
      <w:r w:rsidRPr="00D50B11">
        <w:rPr>
          <w:rFonts w:ascii="Times New Roman" w:hAnsi="Times New Roman" w:cs="Times New Roman"/>
          <w:sz w:val="28"/>
          <w:szCs w:val="28"/>
        </w:rPr>
        <w:t xml:space="preserve"> дезинтеграции модели для всего мира на 10 отдельных регионов (а позднее их количество сократилось до 8, включая Россию) для учета особенностей развития отдельных стран и их национальных климатических и энергетических стратегий (переход к </w:t>
      </w:r>
      <w:r w:rsidRPr="00D50B11">
        <w:rPr>
          <w:rFonts w:ascii="Times New Roman" w:hAnsi="Times New Roman" w:cs="Times New Roman"/>
          <w:sz w:val="28"/>
          <w:szCs w:val="28"/>
          <w:lang w:val="en-US"/>
        </w:rPr>
        <w:t>RICE</w:t>
      </w:r>
      <w:r w:rsidRPr="00D50B11">
        <w:rPr>
          <w:rFonts w:ascii="Times New Roman" w:hAnsi="Times New Roman" w:cs="Times New Roman"/>
          <w:sz w:val="28"/>
          <w:szCs w:val="28"/>
        </w:rPr>
        <w:t xml:space="preserve"> – </w:t>
      </w:r>
      <w:r w:rsidRPr="00D50B11">
        <w:rPr>
          <w:rFonts w:ascii="Times New Roman" w:hAnsi="Times New Roman" w:cs="Times New Roman"/>
          <w:sz w:val="28"/>
          <w:szCs w:val="28"/>
          <w:lang w:val="en-US"/>
        </w:rPr>
        <w:t>Regional</w:t>
      </w:r>
      <w:r w:rsidRPr="00D50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11">
        <w:rPr>
          <w:rFonts w:ascii="Times New Roman" w:hAnsi="Times New Roman" w:cs="Times New Roman"/>
          <w:sz w:val="28"/>
          <w:szCs w:val="28"/>
        </w:rPr>
        <w:t>Integrated</w:t>
      </w:r>
      <w:proofErr w:type="spellEnd"/>
      <w:r w:rsidRPr="00D50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11">
        <w:rPr>
          <w:rFonts w:ascii="Times New Roman" w:hAnsi="Times New Roman" w:cs="Times New Roman"/>
          <w:sz w:val="28"/>
          <w:szCs w:val="28"/>
        </w:rPr>
        <w:t>Climate-Economy</w:t>
      </w:r>
      <w:proofErr w:type="spellEnd"/>
      <w:r w:rsidRPr="00D50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11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D50B11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D50B11">
        <w:rPr>
          <w:rFonts w:ascii="Times New Roman" w:hAnsi="Times New Roman" w:cs="Times New Roman"/>
          <w:sz w:val="28"/>
          <w:szCs w:val="28"/>
          <w:lang w:val="en-US"/>
        </w:rPr>
        <w:t>Nordhaus</w:t>
      </w:r>
      <w:proofErr w:type="spellEnd"/>
      <w:r w:rsidRPr="00D50B11">
        <w:rPr>
          <w:rFonts w:ascii="Times New Roman" w:hAnsi="Times New Roman" w:cs="Times New Roman"/>
          <w:sz w:val="28"/>
          <w:szCs w:val="28"/>
        </w:rPr>
        <w:t xml:space="preserve"> </w:t>
      </w:r>
      <w:r w:rsidRPr="00D50B11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50B11">
        <w:rPr>
          <w:rFonts w:ascii="Times New Roman" w:hAnsi="Times New Roman" w:cs="Times New Roman"/>
          <w:sz w:val="28"/>
          <w:szCs w:val="28"/>
        </w:rPr>
        <w:t xml:space="preserve"> </w:t>
      </w:r>
      <w:r w:rsidRPr="00D50B11">
        <w:rPr>
          <w:rFonts w:ascii="Times New Roman" w:hAnsi="Times New Roman" w:cs="Times New Roman"/>
          <w:sz w:val="28"/>
          <w:szCs w:val="28"/>
          <w:lang w:val="en-US"/>
        </w:rPr>
        <w:t>Yang</w:t>
      </w:r>
      <w:r w:rsidR="000F3604">
        <w:rPr>
          <w:rFonts w:ascii="Times New Roman" w:hAnsi="Times New Roman" w:cs="Times New Roman"/>
          <w:sz w:val="28"/>
          <w:szCs w:val="28"/>
        </w:rPr>
        <w:t>,</w:t>
      </w:r>
      <w:r w:rsidRPr="00D50B11">
        <w:rPr>
          <w:rFonts w:ascii="Times New Roman" w:hAnsi="Times New Roman" w:cs="Times New Roman"/>
          <w:sz w:val="28"/>
          <w:szCs w:val="28"/>
        </w:rPr>
        <w:t xml:space="preserve"> 1996);</w:t>
      </w:r>
      <w:proofErr w:type="gramEnd"/>
      <w:r w:rsidRPr="00D50B11">
        <w:rPr>
          <w:rFonts w:ascii="Times New Roman" w:hAnsi="Times New Roman" w:cs="Times New Roman"/>
          <w:sz w:val="28"/>
          <w:szCs w:val="28"/>
        </w:rPr>
        <w:t xml:space="preserve"> </w:t>
      </w:r>
      <w:r w:rsidRPr="00D50B11">
        <w:rPr>
          <w:rFonts w:ascii="Times New Roman" w:hAnsi="Times New Roman" w:cs="Times New Roman"/>
          <w:b/>
          <w:sz w:val="28"/>
          <w:szCs w:val="28"/>
        </w:rPr>
        <w:t>б)</w:t>
      </w:r>
      <w:r w:rsidRPr="00D50B11">
        <w:rPr>
          <w:rFonts w:ascii="Times New Roman" w:hAnsi="Times New Roman" w:cs="Times New Roman"/>
          <w:sz w:val="28"/>
          <w:szCs w:val="28"/>
        </w:rPr>
        <w:t xml:space="preserve"> добавления в модель предпосылки о существовании технологии, которая замещает исчерпываемый ресурс («</w:t>
      </w:r>
      <w:r w:rsidRPr="00D50B11">
        <w:rPr>
          <w:rFonts w:ascii="Times New Roman" w:hAnsi="Times New Roman" w:cs="Times New Roman"/>
          <w:sz w:val="28"/>
          <w:szCs w:val="28"/>
          <w:lang w:val="en-US"/>
        </w:rPr>
        <w:t>backstop</w:t>
      </w:r>
      <w:r w:rsidRPr="00D50B11">
        <w:rPr>
          <w:rFonts w:ascii="Times New Roman" w:hAnsi="Times New Roman" w:cs="Times New Roman"/>
          <w:sz w:val="28"/>
          <w:szCs w:val="28"/>
        </w:rPr>
        <w:t xml:space="preserve"> </w:t>
      </w:r>
      <w:r w:rsidRPr="00D50B11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Pr="00D50B11">
        <w:rPr>
          <w:rFonts w:ascii="Times New Roman" w:hAnsi="Times New Roman" w:cs="Times New Roman"/>
          <w:sz w:val="28"/>
          <w:szCs w:val="28"/>
        </w:rPr>
        <w:t>») (чья стоимость постепенно снижается), способной в какой-то момент полностью вытеснить ископаемое топливо из мирового энергобаланса (</w:t>
      </w:r>
      <w:proofErr w:type="spellStart"/>
      <w:r w:rsidRPr="00D50B11">
        <w:rPr>
          <w:rFonts w:ascii="Times New Roman" w:hAnsi="Times New Roman" w:cs="Times New Roman"/>
          <w:sz w:val="28"/>
          <w:szCs w:val="28"/>
          <w:lang w:val="en-US"/>
        </w:rPr>
        <w:t>Nordhaus</w:t>
      </w:r>
      <w:proofErr w:type="spellEnd"/>
      <w:r w:rsidR="000F3604" w:rsidRPr="000F3604">
        <w:rPr>
          <w:rFonts w:ascii="Times New Roman" w:hAnsi="Times New Roman" w:cs="Times New Roman"/>
          <w:sz w:val="28"/>
          <w:szCs w:val="28"/>
        </w:rPr>
        <w:t>,</w:t>
      </w:r>
      <w:r w:rsidRPr="00D50B11">
        <w:rPr>
          <w:rFonts w:ascii="Times New Roman" w:hAnsi="Times New Roman" w:cs="Times New Roman"/>
          <w:sz w:val="28"/>
          <w:szCs w:val="28"/>
        </w:rPr>
        <w:t xml:space="preserve"> 2014); </w:t>
      </w:r>
      <w:r w:rsidRPr="00D50B11">
        <w:rPr>
          <w:rFonts w:ascii="Times New Roman" w:hAnsi="Times New Roman" w:cs="Times New Roman"/>
          <w:b/>
          <w:sz w:val="28"/>
          <w:szCs w:val="28"/>
        </w:rPr>
        <w:t>в)</w:t>
      </w:r>
      <w:r w:rsidRPr="00D50B11">
        <w:rPr>
          <w:rFonts w:ascii="Times New Roman" w:hAnsi="Times New Roman" w:cs="Times New Roman"/>
          <w:sz w:val="28"/>
          <w:szCs w:val="28"/>
        </w:rPr>
        <w:t xml:space="preserve"> расширения блока об экономическом ущербе от изменения климата, в частности, от повышения уровня мирового океана (</w:t>
      </w:r>
      <w:proofErr w:type="spellStart"/>
      <w:r w:rsidRPr="00D50B11">
        <w:rPr>
          <w:rFonts w:ascii="Times New Roman" w:hAnsi="Times New Roman" w:cs="Times New Roman"/>
          <w:sz w:val="28"/>
          <w:szCs w:val="28"/>
          <w:lang w:val="en-US"/>
        </w:rPr>
        <w:t>Nordhaus</w:t>
      </w:r>
      <w:proofErr w:type="spellEnd"/>
      <w:r w:rsidR="000F3604" w:rsidRPr="000F3604">
        <w:rPr>
          <w:rFonts w:ascii="Times New Roman" w:hAnsi="Times New Roman" w:cs="Times New Roman"/>
          <w:sz w:val="28"/>
          <w:szCs w:val="28"/>
        </w:rPr>
        <w:t>,</w:t>
      </w:r>
      <w:r w:rsidRPr="00D50B11">
        <w:rPr>
          <w:rFonts w:ascii="Times New Roman" w:hAnsi="Times New Roman" w:cs="Times New Roman"/>
          <w:sz w:val="28"/>
          <w:szCs w:val="28"/>
        </w:rPr>
        <w:t xml:space="preserve"> 2010);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50B11">
        <w:rPr>
          <w:rFonts w:ascii="Times New Roman" w:hAnsi="Times New Roman" w:cs="Times New Roman"/>
          <w:b/>
          <w:sz w:val="28"/>
          <w:szCs w:val="28"/>
        </w:rPr>
        <w:t>)</w:t>
      </w:r>
      <w:r w:rsidRPr="00D50B11">
        <w:rPr>
          <w:rFonts w:ascii="Times New Roman" w:hAnsi="Times New Roman" w:cs="Times New Roman"/>
          <w:sz w:val="28"/>
          <w:szCs w:val="28"/>
        </w:rPr>
        <w:t xml:space="preserve"> учета эффекта увеличения объемов НИОКР на уровень издержек сокращения выбросов парниковых газов (</w:t>
      </w:r>
      <w:proofErr w:type="spellStart"/>
      <w:r w:rsidRPr="00D50B11">
        <w:rPr>
          <w:rFonts w:ascii="Times New Roman" w:hAnsi="Times New Roman" w:cs="Times New Roman"/>
          <w:sz w:val="28"/>
          <w:szCs w:val="28"/>
        </w:rPr>
        <w:t>Baker</w:t>
      </w:r>
      <w:proofErr w:type="spellEnd"/>
      <w:r w:rsidRPr="00D50B11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D50B11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D50B11">
        <w:rPr>
          <w:rFonts w:ascii="Times New Roman" w:hAnsi="Times New Roman" w:cs="Times New Roman"/>
          <w:sz w:val="28"/>
          <w:szCs w:val="28"/>
        </w:rPr>
        <w:t xml:space="preserve"> </w:t>
      </w:r>
      <w:r w:rsidRPr="00D50B11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D50B11">
        <w:rPr>
          <w:rFonts w:ascii="Times New Roman" w:hAnsi="Times New Roman" w:cs="Times New Roman"/>
          <w:sz w:val="28"/>
          <w:szCs w:val="28"/>
        </w:rPr>
        <w:t>.</w:t>
      </w:r>
      <w:r w:rsidR="000F3604" w:rsidRPr="000F3604">
        <w:rPr>
          <w:rFonts w:ascii="Times New Roman" w:hAnsi="Times New Roman" w:cs="Times New Roman"/>
          <w:sz w:val="28"/>
          <w:szCs w:val="28"/>
        </w:rPr>
        <w:t>,</w:t>
      </w:r>
      <w:r w:rsidRPr="00D50B11">
        <w:rPr>
          <w:rFonts w:ascii="Times New Roman" w:hAnsi="Times New Roman" w:cs="Times New Roman"/>
          <w:sz w:val="28"/>
          <w:szCs w:val="28"/>
        </w:rPr>
        <w:t xml:space="preserve"> 2006);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50B11">
        <w:rPr>
          <w:rFonts w:ascii="Times New Roman" w:hAnsi="Times New Roman" w:cs="Times New Roman"/>
          <w:b/>
          <w:sz w:val="28"/>
          <w:szCs w:val="28"/>
        </w:rPr>
        <w:t>)</w:t>
      </w:r>
      <w:r w:rsidRPr="00D50B11">
        <w:rPr>
          <w:rFonts w:ascii="Times New Roman" w:hAnsi="Times New Roman" w:cs="Times New Roman"/>
          <w:sz w:val="28"/>
          <w:szCs w:val="28"/>
        </w:rPr>
        <w:t xml:space="preserve"> модификации функции полезности для учета потребления нерыночных </w:t>
      </w:r>
      <w:proofErr w:type="spellStart"/>
      <w:r w:rsidRPr="00D50B11">
        <w:rPr>
          <w:rFonts w:ascii="Times New Roman" w:hAnsi="Times New Roman" w:cs="Times New Roman"/>
          <w:sz w:val="28"/>
          <w:szCs w:val="28"/>
        </w:rPr>
        <w:t>экосистемных</w:t>
      </w:r>
      <w:proofErr w:type="spellEnd"/>
      <w:r w:rsidRPr="00D50B11">
        <w:rPr>
          <w:rFonts w:ascii="Times New Roman" w:hAnsi="Times New Roman" w:cs="Times New Roman"/>
          <w:sz w:val="28"/>
          <w:szCs w:val="28"/>
        </w:rPr>
        <w:t xml:space="preserve"> услуг (</w:t>
      </w:r>
      <w:proofErr w:type="spellStart"/>
      <w:r w:rsidRPr="00D50B11">
        <w:rPr>
          <w:rFonts w:ascii="Times New Roman" w:hAnsi="Times New Roman" w:cs="Times New Roman"/>
          <w:sz w:val="28"/>
          <w:szCs w:val="28"/>
        </w:rPr>
        <w:t>Hoel</w:t>
      </w:r>
      <w:proofErr w:type="spellEnd"/>
      <w:r w:rsidRPr="00D50B11">
        <w:rPr>
          <w:rFonts w:ascii="Times New Roman" w:hAnsi="Times New Roman" w:cs="Times New Roman"/>
          <w:sz w:val="28"/>
          <w:szCs w:val="28"/>
        </w:rPr>
        <w:t xml:space="preserve"> </w:t>
      </w:r>
      <w:r w:rsidRPr="00D50B11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50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11">
        <w:rPr>
          <w:rFonts w:ascii="Times New Roman" w:hAnsi="Times New Roman" w:cs="Times New Roman"/>
          <w:sz w:val="28"/>
          <w:szCs w:val="28"/>
        </w:rPr>
        <w:t>Sterner</w:t>
      </w:r>
      <w:proofErr w:type="spellEnd"/>
      <w:r w:rsidR="000F3604" w:rsidRPr="000F3604">
        <w:rPr>
          <w:rFonts w:ascii="Times New Roman" w:hAnsi="Times New Roman" w:cs="Times New Roman"/>
          <w:sz w:val="28"/>
          <w:szCs w:val="28"/>
        </w:rPr>
        <w:t>,</w:t>
      </w:r>
      <w:r w:rsidRPr="00D50B11">
        <w:rPr>
          <w:rFonts w:ascii="Times New Roman" w:hAnsi="Times New Roman" w:cs="Times New Roman"/>
          <w:sz w:val="28"/>
          <w:szCs w:val="28"/>
        </w:rPr>
        <w:t xml:space="preserve"> 2007);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50B11">
        <w:rPr>
          <w:rFonts w:ascii="Times New Roman" w:hAnsi="Times New Roman" w:cs="Times New Roman"/>
          <w:b/>
          <w:sz w:val="28"/>
          <w:szCs w:val="28"/>
        </w:rPr>
        <w:t>)</w:t>
      </w:r>
      <w:r w:rsidRPr="00D50B11">
        <w:rPr>
          <w:rFonts w:ascii="Times New Roman" w:hAnsi="Times New Roman" w:cs="Times New Roman"/>
          <w:sz w:val="28"/>
          <w:szCs w:val="28"/>
        </w:rPr>
        <w:t xml:space="preserve"> использования модели </w:t>
      </w:r>
      <w:r w:rsidRPr="00D50B11">
        <w:rPr>
          <w:rFonts w:ascii="Times New Roman" w:hAnsi="Times New Roman" w:cs="Times New Roman"/>
          <w:sz w:val="28"/>
          <w:szCs w:val="28"/>
          <w:lang w:val="en-US"/>
        </w:rPr>
        <w:t>RICE</w:t>
      </w:r>
      <w:r w:rsidRPr="00D50B11">
        <w:rPr>
          <w:rFonts w:ascii="Times New Roman" w:hAnsi="Times New Roman" w:cs="Times New Roman"/>
          <w:sz w:val="28"/>
          <w:szCs w:val="28"/>
        </w:rPr>
        <w:t xml:space="preserve"> для исследования стратегического взаимодействия стран в рамках международных климатических переговоров (</w:t>
      </w:r>
      <w:r w:rsidRPr="00D50B11">
        <w:rPr>
          <w:rFonts w:ascii="Times New Roman" w:hAnsi="Times New Roman" w:cs="Times New Roman"/>
          <w:sz w:val="28"/>
          <w:szCs w:val="28"/>
          <w:lang w:val="en-US"/>
        </w:rPr>
        <w:t>Yang</w:t>
      </w:r>
      <w:r w:rsidR="000F3604" w:rsidRPr="000F3604">
        <w:rPr>
          <w:rFonts w:ascii="Times New Roman" w:hAnsi="Times New Roman" w:cs="Times New Roman"/>
          <w:sz w:val="28"/>
          <w:szCs w:val="28"/>
        </w:rPr>
        <w:t>,</w:t>
      </w:r>
      <w:r w:rsidRPr="00D50B11">
        <w:rPr>
          <w:rFonts w:ascii="Times New Roman" w:hAnsi="Times New Roman" w:cs="Times New Roman"/>
          <w:sz w:val="28"/>
          <w:szCs w:val="28"/>
        </w:rPr>
        <w:t xml:space="preserve"> 2008); </w:t>
      </w:r>
      <w:r w:rsidRPr="00D50B11">
        <w:rPr>
          <w:rFonts w:ascii="Times New Roman" w:hAnsi="Times New Roman" w:cs="Times New Roman"/>
          <w:b/>
          <w:sz w:val="28"/>
          <w:szCs w:val="28"/>
        </w:rPr>
        <w:t>ж)</w:t>
      </w:r>
      <w:r w:rsidRPr="00D50B11">
        <w:rPr>
          <w:rFonts w:ascii="Times New Roman" w:hAnsi="Times New Roman" w:cs="Times New Roman"/>
          <w:sz w:val="28"/>
          <w:szCs w:val="28"/>
        </w:rPr>
        <w:t xml:space="preserve"> сравнения экономической эффективности альтернативных инструментов регулирования выбросов</w:t>
      </w:r>
      <w:r w:rsidR="0082053C">
        <w:rPr>
          <w:rFonts w:ascii="Times New Roman" w:hAnsi="Times New Roman" w:cs="Times New Roman"/>
          <w:sz w:val="28"/>
          <w:szCs w:val="28"/>
        </w:rPr>
        <w:t xml:space="preserve"> </w:t>
      </w:r>
      <w:r w:rsidRPr="00D50B1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50B11">
        <w:rPr>
          <w:rFonts w:ascii="Times New Roman" w:hAnsi="Times New Roman" w:cs="Times New Roman"/>
          <w:sz w:val="28"/>
          <w:szCs w:val="28"/>
          <w:lang w:val="en-US"/>
        </w:rPr>
        <w:t>Pizer</w:t>
      </w:r>
      <w:proofErr w:type="spellEnd"/>
      <w:r w:rsidR="000F3604" w:rsidRPr="000F3604">
        <w:rPr>
          <w:rFonts w:ascii="Times New Roman" w:hAnsi="Times New Roman" w:cs="Times New Roman"/>
          <w:sz w:val="28"/>
          <w:szCs w:val="28"/>
        </w:rPr>
        <w:t>,</w:t>
      </w:r>
      <w:r w:rsidRPr="00D50B11">
        <w:rPr>
          <w:rFonts w:ascii="Times New Roman" w:hAnsi="Times New Roman" w:cs="Times New Roman"/>
          <w:sz w:val="28"/>
          <w:szCs w:val="28"/>
        </w:rPr>
        <w:t xml:space="preserve"> 1999;</w:t>
      </w:r>
      <w:proofErr w:type="gramEnd"/>
      <w:r w:rsidRPr="00D50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0B11">
        <w:rPr>
          <w:rFonts w:ascii="Times New Roman" w:hAnsi="Times New Roman" w:cs="Times New Roman"/>
          <w:sz w:val="28"/>
          <w:szCs w:val="28"/>
          <w:lang w:val="en-US"/>
        </w:rPr>
        <w:t>Pizer</w:t>
      </w:r>
      <w:proofErr w:type="spellEnd"/>
      <w:r w:rsidR="000F3604" w:rsidRPr="000F3604">
        <w:rPr>
          <w:rFonts w:ascii="Times New Roman" w:hAnsi="Times New Roman" w:cs="Times New Roman"/>
          <w:sz w:val="28"/>
          <w:szCs w:val="28"/>
        </w:rPr>
        <w:t>,</w:t>
      </w:r>
      <w:r w:rsidRPr="00D50B11">
        <w:rPr>
          <w:rFonts w:ascii="Times New Roman" w:hAnsi="Times New Roman" w:cs="Times New Roman"/>
          <w:sz w:val="28"/>
          <w:szCs w:val="28"/>
        </w:rPr>
        <w:t xml:space="preserve"> 2002).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принципиальным расширением модели становится </w:t>
      </w:r>
      <w:r w:rsidRPr="00D50B11">
        <w:rPr>
          <w:rFonts w:ascii="Times New Roman" w:hAnsi="Times New Roman" w:cs="Times New Roman"/>
          <w:sz w:val="28"/>
          <w:szCs w:val="28"/>
        </w:rPr>
        <w:t xml:space="preserve">переход к эндогенному технологическому росту от </w:t>
      </w:r>
      <w:proofErr w:type="spellStart"/>
      <w:r w:rsidRPr="00D50B11">
        <w:rPr>
          <w:rFonts w:ascii="Times New Roman" w:hAnsi="Times New Roman" w:cs="Times New Roman"/>
          <w:sz w:val="28"/>
          <w:szCs w:val="28"/>
        </w:rPr>
        <w:t>экзогенно</w:t>
      </w:r>
      <w:proofErr w:type="spellEnd"/>
      <w:r w:rsidRPr="00D50B11">
        <w:rPr>
          <w:rFonts w:ascii="Times New Roman" w:hAnsi="Times New Roman" w:cs="Times New Roman"/>
          <w:sz w:val="28"/>
          <w:szCs w:val="28"/>
        </w:rPr>
        <w:t xml:space="preserve"> заданной убывающей функции предельной отдачи от факторов производства (</w:t>
      </w:r>
      <w:proofErr w:type="spellStart"/>
      <w:r w:rsidRPr="00D50B11">
        <w:rPr>
          <w:rFonts w:ascii="Times New Roman" w:hAnsi="Times New Roman" w:cs="Times New Roman"/>
          <w:sz w:val="28"/>
          <w:szCs w:val="28"/>
          <w:lang w:val="en-US"/>
        </w:rPr>
        <w:t>Nordhaus</w:t>
      </w:r>
      <w:proofErr w:type="spellEnd"/>
      <w:r w:rsidRPr="00D50B11">
        <w:rPr>
          <w:rFonts w:ascii="Times New Roman" w:hAnsi="Times New Roman" w:cs="Times New Roman"/>
          <w:sz w:val="28"/>
          <w:szCs w:val="28"/>
        </w:rPr>
        <w:t xml:space="preserve"> </w:t>
      </w:r>
      <w:r w:rsidRPr="00D50B11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50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B11">
        <w:rPr>
          <w:rFonts w:ascii="Times New Roman" w:hAnsi="Times New Roman" w:cs="Times New Roman"/>
          <w:sz w:val="28"/>
          <w:szCs w:val="28"/>
        </w:rPr>
        <w:t>Sztorc</w:t>
      </w:r>
      <w:proofErr w:type="spellEnd"/>
      <w:r w:rsidR="000F3604" w:rsidRPr="000F3604">
        <w:rPr>
          <w:rFonts w:ascii="Times New Roman" w:hAnsi="Times New Roman" w:cs="Times New Roman"/>
          <w:sz w:val="28"/>
          <w:szCs w:val="28"/>
        </w:rPr>
        <w:t>,</w:t>
      </w:r>
      <w:r w:rsidRPr="00D50B11">
        <w:rPr>
          <w:rFonts w:ascii="Times New Roman" w:hAnsi="Times New Roman" w:cs="Times New Roman"/>
          <w:sz w:val="28"/>
          <w:szCs w:val="28"/>
        </w:rPr>
        <w:t xml:space="preserve"> 2013)</w:t>
      </w:r>
      <w:r>
        <w:rPr>
          <w:rFonts w:ascii="Times New Roman" w:hAnsi="Times New Roman" w:cs="Times New Roman"/>
          <w:sz w:val="28"/>
          <w:szCs w:val="28"/>
        </w:rPr>
        <w:t xml:space="preserve">. В том числе Уильям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Нордхаус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2018 году были удостоены Нобелевской премии по экономике именно за интеграцию изменений климата и технологических инноваций в долгосрочный макроэкономический анализ.</w:t>
      </w:r>
    </w:p>
    <w:p w:rsidR="00283244" w:rsidRPr="00283244" w:rsidRDefault="009F21D6" w:rsidP="00283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блок литературы по экономическим инструментам климатической политик</w:t>
      </w:r>
      <w:r w:rsidR="00E54B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посвящен вопросу выбора оптимального инструмента и дизайна системы регулирования выбросов. В том числе исторически наиболее значимую роль в выборе инструмента играет фактор неопределенности экономического развития, </w:t>
      </w:r>
      <w:r w:rsidR="00283244" w:rsidRPr="00283244">
        <w:rPr>
          <w:rFonts w:ascii="Times New Roman" w:hAnsi="Times New Roman" w:cs="Times New Roman"/>
          <w:sz w:val="28"/>
          <w:szCs w:val="28"/>
        </w:rPr>
        <w:t xml:space="preserve">т.к. именно с анализа издержек и выгод от сокращения загрязнения в условиях нехватки информации относительно их конкретного функционального вида, начались исследования, посвященные сравнению экономической эффективности инструментов на основе формального анализа частного равновесия. Первой в своем роде стала статья М. </w:t>
      </w:r>
      <w:proofErr w:type="spellStart"/>
      <w:r w:rsidR="00283244" w:rsidRPr="00283244">
        <w:rPr>
          <w:rFonts w:ascii="Times New Roman" w:hAnsi="Times New Roman" w:cs="Times New Roman"/>
          <w:sz w:val="28"/>
          <w:szCs w:val="28"/>
        </w:rPr>
        <w:t>Вайцмана</w:t>
      </w:r>
      <w:proofErr w:type="spellEnd"/>
      <w:r w:rsidR="00283244" w:rsidRPr="00283244">
        <w:rPr>
          <w:rFonts w:ascii="Times New Roman" w:hAnsi="Times New Roman" w:cs="Times New Roman"/>
          <w:sz w:val="28"/>
          <w:szCs w:val="28"/>
        </w:rPr>
        <w:t>, в которой автор приходит к выводу о том, что предпочтительность налога или цены на выбросы в условиях неопределенности издержек от сокращения выбросов зависит от относительной эластичности функций предельных выгод и издержек (</w:t>
      </w:r>
      <w:proofErr w:type="spellStart"/>
      <w:r w:rsidR="00283244" w:rsidRPr="00283244">
        <w:rPr>
          <w:rFonts w:ascii="Times New Roman" w:hAnsi="Times New Roman" w:cs="Times New Roman"/>
          <w:sz w:val="28"/>
          <w:szCs w:val="28"/>
        </w:rPr>
        <w:t>Weitzman</w:t>
      </w:r>
      <w:proofErr w:type="spellEnd"/>
      <w:r w:rsidR="0082053C" w:rsidRPr="0082053C">
        <w:rPr>
          <w:rFonts w:ascii="Times New Roman" w:hAnsi="Times New Roman" w:cs="Times New Roman"/>
          <w:sz w:val="28"/>
          <w:szCs w:val="28"/>
        </w:rPr>
        <w:t>,</w:t>
      </w:r>
      <w:r w:rsidR="00283244" w:rsidRPr="00283244">
        <w:rPr>
          <w:rFonts w:ascii="Times New Roman" w:hAnsi="Times New Roman" w:cs="Times New Roman"/>
          <w:sz w:val="28"/>
          <w:szCs w:val="28"/>
        </w:rPr>
        <w:t xml:space="preserve"> 1974). Со временем важность фактора неопределенности в выборе экономических инструментов стала предметом широкого научного консенсуса, а статья </w:t>
      </w:r>
      <w:proofErr w:type="spellStart"/>
      <w:r w:rsidR="00283244" w:rsidRPr="00283244">
        <w:rPr>
          <w:rFonts w:ascii="Times New Roman" w:hAnsi="Times New Roman" w:cs="Times New Roman"/>
          <w:sz w:val="28"/>
          <w:szCs w:val="28"/>
        </w:rPr>
        <w:t>Вайцмана</w:t>
      </w:r>
      <w:proofErr w:type="spellEnd"/>
      <w:r w:rsidR="00283244" w:rsidRPr="00283244">
        <w:rPr>
          <w:rFonts w:ascii="Times New Roman" w:hAnsi="Times New Roman" w:cs="Times New Roman"/>
          <w:sz w:val="28"/>
          <w:szCs w:val="28"/>
        </w:rPr>
        <w:t xml:space="preserve"> заложила теоретические основы последующих исследований в этой области: тезис о важности относительной эластичности предельных издержек и выгод сокращения выбросов в выборе инструмента регулирования разделяется большинством авторов (</w:t>
      </w:r>
      <w:proofErr w:type="spellStart"/>
      <w:r w:rsidR="00283244" w:rsidRPr="00283244">
        <w:rPr>
          <w:rFonts w:ascii="Times New Roman" w:hAnsi="Times New Roman" w:cs="Times New Roman"/>
          <w:sz w:val="28"/>
          <w:szCs w:val="28"/>
        </w:rPr>
        <w:t>Hoel</w:t>
      </w:r>
      <w:proofErr w:type="spellEnd"/>
      <w:r w:rsidR="00283244" w:rsidRPr="00283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244" w:rsidRPr="0028324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83244" w:rsidRPr="00283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244" w:rsidRPr="00283244">
        <w:rPr>
          <w:rFonts w:ascii="Times New Roman" w:hAnsi="Times New Roman" w:cs="Times New Roman"/>
          <w:sz w:val="28"/>
          <w:szCs w:val="28"/>
        </w:rPr>
        <w:t>Karp</w:t>
      </w:r>
      <w:proofErr w:type="spellEnd"/>
      <w:r w:rsidR="0082053C" w:rsidRPr="0082053C">
        <w:rPr>
          <w:rFonts w:ascii="Times New Roman" w:hAnsi="Times New Roman" w:cs="Times New Roman"/>
          <w:sz w:val="28"/>
          <w:szCs w:val="28"/>
        </w:rPr>
        <w:t>,</w:t>
      </w:r>
      <w:r w:rsidR="00283244" w:rsidRPr="00283244">
        <w:rPr>
          <w:rFonts w:ascii="Times New Roman" w:hAnsi="Times New Roman" w:cs="Times New Roman"/>
          <w:sz w:val="28"/>
          <w:szCs w:val="28"/>
        </w:rPr>
        <w:t xml:space="preserve"> 2001; </w:t>
      </w:r>
      <w:proofErr w:type="spellStart"/>
      <w:r w:rsidR="00283244" w:rsidRPr="00283244">
        <w:rPr>
          <w:rFonts w:ascii="Times New Roman" w:hAnsi="Times New Roman" w:cs="Times New Roman"/>
          <w:sz w:val="28"/>
          <w:szCs w:val="28"/>
        </w:rPr>
        <w:t>Pizer</w:t>
      </w:r>
      <w:proofErr w:type="spellEnd"/>
      <w:r w:rsidR="0082053C" w:rsidRPr="0082053C">
        <w:rPr>
          <w:rFonts w:ascii="Times New Roman" w:hAnsi="Times New Roman" w:cs="Times New Roman"/>
          <w:sz w:val="28"/>
          <w:szCs w:val="28"/>
        </w:rPr>
        <w:t>,</w:t>
      </w:r>
      <w:r w:rsidR="00283244" w:rsidRPr="00283244">
        <w:rPr>
          <w:rFonts w:ascii="Times New Roman" w:hAnsi="Times New Roman" w:cs="Times New Roman"/>
          <w:sz w:val="28"/>
          <w:szCs w:val="28"/>
        </w:rPr>
        <w:t xml:space="preserve"> 2002). Развитие анализа происходит в части моделирования гибридных инструментов (одновременное использование цены на выбросы и </w:t>
      </w:r>
      <w:r w:rsidR="000F3604">
        <w:rPr>
          <w:rFonts w:ascii="Times New Roman" w:hAnsi="Times New Roman" w:cs="Times New Roman"/>
          <w:sz w:val="28"/>
          <w:szCs w:val="28"/>
        </w:rPr>
        <w:t>СТВ</w:t>
      </w:r>
      <w:r w:rsidR="00283244" w:rsidRPr="00283244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="00283244" w:rsidRPr="00283244">
        <w:rPr>
          <w:rFonts w:ascii="Times New Roman" w:hAnsi="Times New Roman" w:cs="Times New Roman"/>
          <w:sz w:val="28"/>
          <w:szCs w:val="28"/>
        </w:rPr>
        <w:t>Jacoby</w:t>
      </w:r>
      <w:proofErr w:type="spellEnd"/>
      <w:r w:rsidR="00283244" w:rsidRPr="00283244">
        <w:rPr>
          <w:rFonts w:ascii="Times New Roman" w:hAnsi="Times New Roman" w:cs="Times New Roman"/>
          <w:sz w:val="28"/>
          <w:szCs w:val="28"/>
        </w:rPr>
        <w:t xml:space="preserve"> </w:t>
      </w:r>
      <w:r w:rsidR="00283244" w:rsidRPr="0028324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83244" w:rsidRPr="00283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244" w:rsidRPr="00283244">
        <w:rPr>
          <w:rFonts w:ascii="Times New Roman" w:hAnsi="Times New Roman" w:cs="Times New Roman"/>
          <w:sz w:val="28"/>
          <w:szCs w:val="28"/>
        </w:rPr>
        <w:t>Ellerman</w:t>
      </w:r>
      <w:proofErr w:type="spellEnd"/>
      <w:r w:rsidR="0082053C" w:rsidRPr="0082053C">
        <w:rPr>
          <w:rFonts w:ascii="Times New Roman" w:hAnsi="Times New Roman" w:cs="Times New Roman"/>
          <w:sz w:val="28"/>
          <w:szCs w:val="28"/>
        </w:rPr>
        <w:t>,</w:t>
      </w:r>
      <w:r w:rsidR="00283244" w:rsidRPr="00283244">
        <w:rPr>
          <w:rFonts w:ascii="Times New Roman" w:hAnsi="Times New Roman" w:cs="Times New Roman"/>
          <w:sz w:val="28"/>
          <w:szCs w:val="28"/>
        </w:rPr>
        <w:t xml:space="preserve"> 2004), привязки количества разрешений на выбросы к показателям выпуска экономики (</w:t>
      </w:r>
      <w:proofErr w:type="spellStart"/>
      <w:r w:rsidR="00283244" w:rsidRPr="00283244">
        <w:rPr>
          <w:rFonts w:ascii="Times New Roman" w:hAnsi="Times New Roman" w:cs="Times New Roman"/>
          <w:sz w:val="28"/>
          <w:szCs w:val="28"/>
        </w:rPr>
        <w:t>Ellerman</w:t>
      </w:r>
      <w:proofErr w:type="spellEnd"/>
      <w:r w:rsidR="00283244" w:rsidRPr="00283244">
        <w:rPr>
          <w:rFonts w:ascii="Times New Roman" w:hAnsi="Times New Roman" w:cs="Times New Roman"/>
          <w:sz w:val="28"/>
          <w:szCs w:val="28"/>
        </w:rPr>
        <w:t xml:space="preserve"> </w:t>
      </w:r>
      <w:r w:rsidR="00283244" w:rsidRPr="0028324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83244" w:rsidRPr="00283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244" w:rsidRPr="00283244">
        <w:rPr>
          <w:rFonts w:ascii="Times New Roman" w:hAnsi="Times New Roman" w:cs="Times New Roman"/>
          <w:sz w:val="28"/>
          <w:szCs w:val="28"/>
        </w:rPr>
        <w:t>Wing</w:t>
      </w:r>
      <w:proofErr w:type="spellEnd"/>
      <w:r w:rsidR="0082053C">
        <w:rPr>
          <w:rFonts w:ascii="Times New Roman" w:hAnsi="Times New Roman" w:cs="Times New Roman"/>
          <w:sz w:val="28"/>
          <w:szCs w:val="28"/>
        </w:rPr>
        <w:t>,</w:t>
      </w:r>
      <w:r w:rsidR="00283244" w:rsidRPr="00283244">
        <w:rPr>
          <w:rFonts w:ascii="Times New Roman" w:hAnsi="Times New Roman" w:cs="Times New Roman"/>
          <w:sz w:val="28"/>
          <w:szCs w:val="28"/>
        </w:rPr>
        <w:t xml:space="preserve"> 2003; </w:t>
      </w:r>
      <w:proofErr w:type="spellStart"/>
      <w:r w:rsidR="00283244" w:rsidRPr="00283244">
        <w:rPr>
          <w:rFonts w:ascii="Times New Roman" w:hAnsi="Times New Roman" w:cs="Times New Roman"/>
          <w:sz w:val="28"/>
          <w:szCs w:val="28"/>
        </w:rPr>
        <w:t>Newell</w:t>
      </w:r>
      <w:proofErr w:type="spellEnd"/>
      <w:r w:rsidR="00283244" w:rsidRPr="00283244">
        <w:rPr>
          <w:rFonts w:ascii="Times New Roman" w:hAnsi="Times New Roman" w:cs="Times New Roman"/>
          <w:sz w:val="28"/>
          <w:szCs w:val="28"/>
        </w:rPr>
        <w:t xml:space="preserve"> </w:t>
      </w:r>
      <w:r w:rsidR="00283244" w:rsidRPr="0028324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83244" w:rsidRPr="00283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244" w:rsidRPr="00283244">
        <w:rPr>
          <w:rFonts w:ascii="Times New Roman" w:hAnsi="Times New Roman" w:cs="Times New Roman"/>
          <w:sz w:val="28"/>
          <w:szCs w:val="28"/>
        </w:rPr>
        <w:t>Pizer</w:t>
      </w:r>
      <w:proofErr w:type="spellEnd"/>
      <w:r w:rsidR="0082053C">
        <w:rPr>
          <w:rFonts w:ascii="Times New Roman" w:hAnsi="Times New Roman" w:cs="Times New Roman"/>
          <w:sz w:val="28"/>
          <w:szCs w:val="28"/>
        </w:rPr>
        <w:t>,</w:t>
      </w:r>
      <w:r w:rsidR="00283244" w:rsidRPr="00283244">
        <w:rPr>
          <w:rFonts w:ascii="Times New Roman" w:hAnsi="Times New Roman" w:cs="Times New Roman"/>
          <w:sz w:val="28"/>
          <w:szCs w:val="28"/>
        </w:rPr>
        <w:t xml:space="preserve"> </w:t>
      </w:r>
      <w:r w:rsidR="00283244" w:rsidRPr="00283244">
        <w:rPr>
          <w:rFonts w:ascii="Times New Roman" w:hAnsi="Times New Roman" w:cs="Times New Roman"/>
          <w:sz w:val="28"/>
          <w:szCs w:val="28"/>
        </w:rPr>
        <w:lastRenderedPageBreak/>
        <w:t xml:space="preserve">2008; </w:t>
      </w:r>
      <w:proofErr w:type="spellStart"/>
      <w:r w:rsidR="00283244" w:rsidRPr="00283244">
        <w:rPr>
          <w:rFonts w:ascii="Times New Roman" w:hAnsi="Times New Roman" w:cs="Times New Roman"/>
          <w:sz w:val="28"/>
          <w:szCs w:val="28"/>
        </w:rPr>
        <w:t>Quirion</w:t>
      </w:r>
      <w:proofErr w:type="spellEnd"/>
      <w:r w:rsidR="0082053C">
        <w:rPr>
          <w:rFonts w:ascii="Times New Roman" w:hAnsi="Times New Roman" w:cs="Times New Roman"/>
          <w:sz w:val="28"/>
          <w:szCs w:val="28"/>
        </w:rPr>
        <w:t>,</w:t>
      </w:r>
      <w:r w:rsidR="00283244" w:rsidRPr="00283244">
        <w:rPr>
          <w:rFonts w:ascii="Times New Roman" w:hAnsi="Times New Roman" w:cs="Times New Roman"/>
          <w:sz w:val="28"/>
          <w:szCs w:val="28"/>
        </w:rPr>
        <w:t xml:space="preserve"> 2005), а также перехода от статичной к дин</w:t>
      </w:r>
      <w:r w:rsidR="0082053C">
        <w:rPr>
          <w:rFonts w:ascii="Times New Roman" w:hAnsi="Times New Roman" w:cs="Times New Roman"/>
          <w:sz w:val="28"/>
          <w:szCs w:val="28"/>
        </w:rPr>
        <w:t>амической форме модели (</w:t>
      </w:r>
      <w:proofErr w:type="spellStart"/>
      <w:r w:rsidR="0082053C">
        <w:rPr>
          <w:rFonts w:ascii="Times New Roman" w:hAnsi="Times New Roman" w:cs="Times New Roman"/>
          <w:sz w:val="28"/>
          <w:szCs w:val="28"/>
        </w:rPr>
        <w:t>Kolstad</w:t>
      </w:r>
      <w:proofErr w:type="spellEnd"/>
      <w:r w:rsidR="0082053C" w:rsidRPr="0082053C">
        <w:rPr>
          <w:rFonts w:ascii="Times New Roman" w:hAnsi="Times New Roman" w:cs="Times New Roman"/>
          <w:sz w:val="28"/>
          <w:szCs w:val="28"/>
        </w:rPr>
        <w:t xml:space="preserve">, </w:t>
      </w:r>
      <w:r w:rsidR="00283244" w:rsidRPr="00283244">
        <w:rPr>
          <w:rFonts w:ascii="Times New Roman" w:hAnsi="Times New Roman" w:cs="Times New Roman"/>
          <w:sz w:val="28"/>
          <w:szCs w:val="28"/>
        </w:rPr>
        <w:t>1996).</w:t>
      </w:r>
    </w:p>
    <w:p w:rsidR="00283244" w:rsidRDefault="009F21D6" w:rsidP="00283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Прочая литература по второму блоку посвящена иным факторам (или их </w:t>
      </w:r>
      <w:r w:rsidRPr="00A013AB">
        <w:rPr>
          <w:rFonts w:ascii="Times New Roman" w:hAnsi="Times New Roman" w:cs="Times New Roman"/>
          <w:sz w:val="28"/>
          <w:szCs w:val="28"/>
        </w:rPr>
        <w:t>комбинации), влияющим на выбор инструмента климатической политики (</w:t>
      </w:r>
      <w:proofErr w:type="spellStart"/>
      <w:r w:rsidR="00A013AB" w:rsidRPr="00A013AB">
        <w:rPr>
          <w:rFonts w:ascii="Times New Roman" w:hAnsi="Times New Roman" w:cs="Times New Roman"/>
          <w:sz w:val="28"/>
          <w:szCs w:val="28"/>
          <w:lang w:val="en-US"/>
        </w:rPr>
        <w:t>Goulder</w:t>
      </w:r>
      <w:proofErr w:type="spellEnd"/>
      <w:r w:rsidR="00A013AB" w:rsidRPr="00A013AB">
        <w:rPr>
          <w:rFonts w:ascii="Times New Roman" w:hAnsi="Times New Roman" w:cs="Times New Roman"/>
          <w:sz w:val="28"/>
          <w:szCs w:val="28"/>
        </w:rPr>
        <w:t xml:space="preserve"> </w:t>
      </w:r>
      <w:r w:rsidR="00A013AB" w:rsidRPr="00A013A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A013AB" w:rsidRPr="00A013AB">
        <w:rPr>
          <w:rFonts w:ascii="Times New Roman" w:hAnsi="Times New Roman" w:cs="Times New Roman"/>
          <w:sz w:val="28"/>
          <w:szCs w:val="28"/>
        </w:rPr>
        <w:t xml:space="preserve"> </w:t>
      </w:r>
      <w:r w:rsidR="00A013AB" w:rsidRPr="00A013AB">
        <w:rPr>
          <w:rFonts w:ascii="Times New Roman" w:hAnsi="Times New Roman" w:cs="Times New Roman"/>
          <w:sz w:val="28"/>
          <w:szCs w:val="28"/>
          <w:lang w:val="en-US"/>
        </w:rPr>
        <w:t>Parry</w:t>
      </w:r>
      <w:r w:rsidR="00A013AB" w:rsidRPr="00A013AB">
        <w:rPr>
          <w:rFonts w:ascii="Times New Roman" w:hAnsi="Times New Roman" w:cs="Times New Roman"/>
          <w:sz w:val="28"/>
          <w:szCs w:val="28"/>
        </w:rPr>
        <w:t>, 2008</w:t>
      </w:r>
      <w:r w:rsidRPr="00A013AB">
        <w:rPr>
          <w:rFonts w:ascii="Times New Roman" w:hAnsi="Times New Roman" w:cs="Times New Roman"/>
          <w:sz w:val="28"/>
          <w:szCs w:val="28"/>
        </w:rPr>
        <w:t>).</w:t>
      </w:r>
      <w:r w:rsidRPr="009F21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Среди прочего выбор </w:t>
      </w:r>
      <w:r w:rsidR="00283244" w:rsidRPr="00283244">
        <w:rPr>
          <w:rFonts w:ascii="Times New Roman" w:hAnsi="Times New Roman" w:cs="Times New Roman"/>
          <w:sz w:val="28"/>
          <w:szCs w:val="28"/>
        </w:rPr>
        <w:t xml:space="preserve">наиболее экономически эффективного инструмента регулирования выбросов из двух основных – цены на выбросы и системы торговли </w:t>
      </w:r>
      <w:r w:rsidR="000F3604">
        <w:rPr>
          <w:rFonts w:ascii="Times New Roman" w:hAnsi="Times New Roman" w:cs="Times New Roman"/>
          <w:sz w:val="28"/>
          <w:szCs w:val="28"/>
        </w:rPr>
        <w:t>выбросами</w:t>
      </w:r>
      <w:r w:rsidR="00283244" w:rsidRPr="00283244">
        <w:rPr>
          <w:rFonts w:ascii="Times New Roman" w:hAnsi="Times New Roman" w:cs="Times New Roman"/>
          <w:sz w:val="28"/>
          <w:szCs w:val="28"/>
        </w:rPr>
        <w:t xml:space="preserve"> (</w:t>
      </w:r>
      <w:r w:rsidR="000F3604">
        <w:rPr>
          <w:rFonts w:ascii="Times New Roman" w:hAnsi="Times New Roman" w:cs="Times New Roman"/>
          <w:sz w:val="28"/>
          <w:szCs w:val="28"/>
        </w:rPr>
        <w:t>СТВ</w:t>
      </w:r>
      <w:r w:rsidR="00283244" w:rsidRPr="00283244">
        <w:rPr>
          <w:rFonts w:ascii="Times New Roman" w:hAnsi="Times New Roman" w:cs="Times New Roman"/>
          <w:sz w:val="28"/>
          <w:szCs w:val="28"/>
        </w:rPr>
        <w:t>) (или их гибридной модификации) зависит от взаимодействия вводимых инструментов с действующими мерами фискальной политики (</w:t>
      </w:r>
      <w:proofErr w:type="spellStart"/>
      <w:r w:rsidR="00283244" w:rsidRPr="00283244">
        <w:rPr>
          <w:rFonts w:ascii="Times New Roman" w:hAnsi="Times New Roman" w:cs="Times New Roman"/>
          <w:sz w:val="28"/>
          <w:szCs w:val="28"/>
        </w:rPr>
        <w:t>Goulder</w:t>
      </w:r>
      <w:proofErr w:type="spellEnd"/>
      <w:r w:rsidR="00283244" w:rsidRPr="00283244">
        <w:rPr>
          <w:rFonts w:ascii="Times New Roman" w:hAnsi="Times New Roman" w:cs="Times New Roman"/>
          <w:sz w:val="28"/>
          <w:szCs w:val="28"/>
        </w:rPr>
        <w:t xml:space="preserve"> </w:t>
      </w:r>
      <w:r w:rsidR="00283244" w:rsidRPr="00283244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283244" w:rsidRPr="00283244">
        <w:rPr>
          <w:rFonts w:ascii="Times New Roman" w:hAnsi="Times New Roman" w:cs="Times New Roman"/>
          <w:sz w:val="28"/>
          <w:szCs w:val="28"/>
        </w:rPr>
        <w:t xml:space="preserve"> </w:t>
      </w:r>
      <w:r w:rsidR="00283244" w:rsidRPr="00283244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283244" w:rsidRPr="00283244">
        <w:rPr>
          <w:rFonts w:ascii="Times New Roman" w:hAnsi="Times New Roman" w:cs="Times New Roman"/>
          <w:sz w:val="28"/>
          <w:szCs w:val="28"/>
        </w:rPr>
        <w:t>.</w:t>
      </w:r>
      <w:r w:rsidR="0082053C">
        <w:rPr>
          <w:rFonts w:ascii="Times New Roman" w:hAnsi="Times New Roman" w:cs="Times New Roman"/>
          <w:sz w:val="28"/>
          <w:szCs w:val="28"/>
        </w:rPr>
        <w:t>,</w:t>
      </w:r>
      <w:r w:rsidR="00283244" w:rsidRPr="00283244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283244" w:rsidRPr="00283244">
        <w:rPr>
          <w:rFonts w:ascii="Times New Roman" w:hAnsi="Times New Roman" w:cs="Times New Roman"/>
          <w:sz w:val="28"/>
          <w:szCs w:val="28"/>
        </w:rPr>
        <w:t>1996), транзакционных издержек системы (</w:t>
      </w:r>
      <w:proofErr w:type="spellStart"/>
      <w:r w:rsidR="00283244" w:rsidRPr="00283244">
        <w:rPr>
          <w:rFonts w:ascii="Times New Roman" w:hAnsi="Times New Roman" w:cs="Times New Roman"/>
          <w:sz w:val="28"/>
          <w:szCs w:val="28"/>
          <w:lang w:val="en-US"/>
        </w:rPr>
        <w:t>Stavins</w:t>
      </w:r>
      <w:proofErr w:type="spellEnd"/>
      <w:r w:rsidR="0082053C">
        <w:rPr>
          <w:rFonts w:ascii="Times New Roman" w:hAnsi="Times New Roman" w:cs="Times New Roman"/>
          <w:sz w:val="28"/>
          <w:szCs w:val="28"/>
        </w:rPr>
        <w:t>,</w:t>
      </w:r>
      <w:r w:rsidR="00283244" w:rsidRPr="00283244">
        <w:rPr>
          <w:rFonts w:ascii="Times New Roman" w:hAnsi="Times New Roman" w:cs="Times New Roman"/>
          <w:sz w:val="28"/>
          <w:szCs w:val="28"/>
        </w:rPr>
        <w:t xml:space="preserve"> 1995), уровня конкуренции на рынке (</w:t>
      </w:r>
      <w:r w:rsidR="00283244" w:rsidRPr="00283244">
        <w:rPr>
          <w:rFonts w:ascii="Times New Roman" w:hAnsi="Times New Roman" w:cs="Times New Roman"/>
          <w:sz w:val="28"/>
          <w:szCs w:val="28"/>
          <w:lang w:val="en-US"/>
        </w:rPr>
        <w:t>Mansur</w:t>
      </w:r>
      <w:r w:rsidR="0082053C">
        <w:rPr>
          <w:rFonts w:ascii="Times New Roman" w:hAnsi="Times New Roman" w:cs="Times New Roman"/>
          <w:sz w:val="28"/>
          <w:szCs w:val="28"/>
        </w:rPr>
        <w:t>,</w:t>
      </w:r>
      <w:r w:rsidR="00283244" w:rsidRPr="00283244">
        <w:rPr>
          <w:rFonts w:ascii="Times New Roman" w:hAnsi="Times New Roman" w:cs="Times New Roman"/>
          <w:sz w:val="28"/>
          <w:szCs w:val="28"/>
        </w:rPr>
        <w:t xml:space="preserve"> 2013)</w:t>
      </w:r>
      <w:r>
        <w:rPr>
          <w:rFonts w:ascii="Times New Roman" w:hAnsi="Times New Roman" w:cs="Times New Roman"/>
          <w:sz w:val="28"/>
          <w:szCs w:val="28"/>
        </w:rPr>
        <w:t xml:space="preserve"> и ряда других факторов</w:t>
      </w:r>
      <w:r w:rsidR="00283244" w:rsidRPr="002832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83244" w:rsidRDefault="00A03720" w:rsidP="00283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блок литературы рассматривает эмпирические аспекты использования инструментов регулирования выбросов на примерах отдельных стран или административных субъектов, в которых это регулирование используется. В том числе значительное количество работ посвящено вопросам </w:t>
      </w:r>
      <w:r w:rsidRPr="00FF1CC1">
        <w:rPr>
          <w:rFonts w:ascii="Times New Roman" w:hAnsi="Times New Roman" w:cs="Times New Roman"/>
          <w:sz w:val="28"/>
          <w:szCs w:val="28"/>
        </w:rPr>
        <w:t>эволюции и проблемам работоспособности Европейской системы торговли выбросами (</w:t>
      </w:r>
      <w:r w:rsidR="00FF1CC1" w:rsidRPr="00FF1CC1">
        <w:rPr>
          <w:rFonts w:ascii="Times New Roman" w:hAnsi="Times New Roman" w:cs="Times New Roman"/>
          <w:sz w:val="28"/>
          <w:szCs w:val="28"/>
          <w:lang w:val="en-US"/>
        </w:rPr>
        <w:t>Fan</w:t>
      </w:r>
      <w:r w:rsidR="00FF1CC1" w:rsidRPr="00FF1CC1">
        <w:rPr>
          <w:rFonts w:ascii="Times New Roman" w:hAnsi="Times New Roman" w:cs="Times New Roman"/>
          <w:sz w:val="28"/>
          <w:szCs w:val="28"/>
        </w:rPr>
        <w:t xml:space="preserve"> </w:t>
      </w:r>
      <w:r w:rsidR="00FF1CC1" w:rsidRPr="00FF1CC1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FF1CC1" w:rsidRPr="00FF1CC1">
        <w:rPr>
          <w:rFonts w:ascii="Times New Roman" w:hAnsi="Times New Roman" w:cs="Times New Roman"/>
          <w:sz w:val="28"/>
          <w:szCs w:val="28"/>
        </w:rPr>
        <w:t xml:space="preserve"> </w:t>
      </w:r>
      <w:r w:rsidR="00FF1CC1" w:rsidRPr="00FF1CC1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FF1CC1" w:rsidRPr="00FF1CC1">
        <w:rPr>
          <w:rFonts w:ascii="Times New Roman" w:hAnsi="Times New Roman" w:cs="Times New Roman"/>
          <w:sz w:val="28"/>
          <w:szCs w:val="28"/>
        </w:rPr>
        <w:t>, 2017;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Mu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û</w:t>
      </w:r>
      <w:proofErr w:type="spellStart"/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ls</w:t>
      </w:r>
      <w:proofErr w:type="spellEnd"/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et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al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., 2016; 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Brink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et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al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., 2016</w:t>
      </w:r>
      <w:r w:rsidRPr="00FF1CC1">
        <w:rPr>
          <w:rFonts w:ascii="Times New Roman" w:hAnsi="Times New Roman" w:cs="Times New Roman"/>
          <w:sz w:val="28"/>
          <w:szCs w:val="28"/>
        </w:rPr>
        <w:t>)</w:t>
      </w:r>
      <w:r w:rsidR="00810311" w:rsidRPr="00FF1CC1">
        <w:rPr>
          <w:rFonts w:ascii="Times New Roman" w:hAnsi="Times New Roman" w:cs="Times New Roman"/>
          <w:sz w:val="28"/>
          <w:szCs w:val="28"/>
        </w:rPr>
        <w:t>, ряд работ оценивает</w:t>
      </w:r>
      <w:r w:rsidR="00810311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или возможность </w:t>
      </w:r>
      <w:r w:rsidR="00810311" w:rsidRPr="00FF1CC1">
        <w:rPr>
          <w:rFonts w:ascii="Times New Roman" w:hAnsi="Times New Roman" w:cs="Times New Roman"/>
          <w:sz w:val="28"/>
          <w:szCs w:val="28"/>
        </w:rPr>
        <w:t>введения углеродных налогов в разных странах (</w:t>
      </w:r>
      <w:r w:rsidR="00FF1CC1" w:rsidRPr="00FF1CC1">
        <w:rPr>
          <w:rFonts w:ascii="Times New Roman" w:hAnsi="Times New Roman" w:cs="Times New Roman"/>
          <w:sz w:val="28"/>
          <w:szCs w:val="28"/>
          <w:lang w:val="en-US"/>
        </w:rPr>
        <w:t>Metcalf</w:t>
      </w:r>
      <w:r w:rsidR="00FF1CC1" w:rsidRPr="00FF1CC1">
        <w:rPr>
          <w:rFonts w:ascii="Times New Roman" w:hAnsi="Times New Roman" w:cs="Times New Roman"/>
          <w:sz w:val="28"/>
          <w:szCs w:val="28"/>
        </w:rPr>
        <w:t xml:space="preserve">, 2007; 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Murray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and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Rivers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2015</w:t>
      </w:r>
      <w:r w:rsidR="00810311" w:rsidRPr="00FF1CC1">
        <w:rPr>
          <w:rFonts w:ascii="Times New Roman" w:hAnsi="Times New Roman" w:cs="Times New Roman"/>
          <w:sz w:val="28"/>
          <w:szCs w:val="28"/>
        </w:rPr>
        <w:t>).</w:t>
      </w:r>
    </w:p>
    <w:p w:rsidR="00810311" w:rsidRPr="00810311" w:rsidRDefault="00810311" w:rsidP="00283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последний блок литературы, посвящен вопросам оценки вмененной цены на углерод, сочетания инструментов регулирования в климатической политике. Так, например, в</w:t>
      </w:r>
      <w:r w:rsidRPr="00810311">
        <w:rPr>
          <w:rFonts w:ascii="Times New Roman" w:hAnsi="Times New Roman" w:cs="Times New Roman"/>
          <w:sz w:val="28"/>
          <w:szCs w:val="28"/>
        </w:rPr>
        <w:t xml:space="preserve"> комплексном исследовании ОЭСР производится оценка</w:t>
      </w:r>
      <w:r w:rsidR="005A3E2E">
        <w:rPr>
          <w:rFonts w:ascii="Times New Roman" w:hAnsi="Times New Roman" w:cs="Times New Roman"/>
          <w:sz w:val="28"/>
          <w:szCs w:val="28"/>
        </w:rPr>
        <w:t xml:space="preserve"> вмененной</w:t>
      </w:r>
      <w:r w:rsidRPr="00810311">
        <w:rPr>
          <w:rFonts w:ascii="Times New Roman" w:hAnsi="Times New Roman" w:cs="Times New Roman"/>
          <w:sz w:val="28"/>
          <w:szCs w:val="28"/>
        </w:rPr>
        <w:t xml:space="preserve"> цены на углерод («</w:t>
      </w:r>
      <w:proofErr w:type="spellStart"/>
      <w:r w:rsidRPr="00810311">
        <w:rPr>
          <w:rFonts w:ascii="Times New Roman" w:hAnsi="Times New Roman" w:cs="Times New Roman"/>
          <w:sz w:val="28"/>
          <w:szCs w:val="28"/>
        </w:rPr>
        <w:t>Effective</w:t>
      </w:r>
      <w:proofErr w:type="spellEnd"/>
      <w:r w:rsidRPr="00810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311">
        <w:rPr>
          <w:rFonts w:ascii="Times New Roman" w:hAnsi="Times New Roman" w:cs="Times New Roman"/>
          <w:sz w:val="28"/>
          <w:szCs w:val="28"/>
        </w:rPr>
        <w:t>Carbon</w:t>
      </w:r>
      <w:proofErr w:type="spellEnd"/>
      <w:r w:rsidRPr="00810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311">
        <w:rPr>
          <w:rFonts w:ascii="Times New Roman" w:hAnsi="Times New Roman" w:cs="Times New Roman"/>
          <w:sz w:val="28"/>
          <w:szCs w:val="28"/>
        </w:rPr>
        <w:t>Price</w:t>
      </w:r>
      <w:proofErr w:type="spellEnd"/>
      <w:r w:rsidRPr="00810311">
        <w:rPr>
          <w:rFonts w:ascii="Times New Roman" w:hAnsi="Times New Roman" w:cs="Times New Roman"/>
          <w:sz w:val="28"/>
          <w:szCs w:val="28"/>
        </w:rPr>
        <w:t xml:space="preserve">»), включающей в себя набор ценовых сигналов, в том числе совокупности энергетических налогов </w:t>
      </w:r>
      <w:r w:rsidR="005A3E2E">
        <w:rPr>
          <w:rFonts w:ascii="Times New Roman" w:hAnsi="Times New Roman" w:cs="Times New Roman"/>
          <w:sz w:val="28"/>
          <w:szCs w:val="28"/>
        </w:rPr>
        <w:t>(</w:t>
      </w:r>
      <w:r w:rsidRPr="00810311">
        <w:rPr>
          <w:rFonts w:ascii="Times New Roman" w:hAnsi="Times New Roman" w:cs="Times New Roman"/>
          <w:sz w:val="28"/>
          <w:szCs w:val="28"/>
        </w:rPr>
        <w:t>OECD, 2013</w:t>
      </w:r>
      <w:r w:rsidR="005A3E2E">
        <w:rPr>
          <w:rFonts w:ascii="Times New Roman" w:hAnsi="Times New Roman" w:cs="Times New Roman"/>
          <w:sz w:val="28"/>
          <w:szCs w:val="28"/>
        </w:rPr>
        <w:t>)</w:t>
      </w:r>
      <w:r w:rsidRPr="00810311">
        <w:rPr>
          <w:rFonts w:ascii="Times New Roman" w:hAnsi="Times New Roman" w:cs="Times New Roman"/>
          <w:sz w:val="28"/>
          <w:szCs w:val="28"/>
        </w:rPr>
        <w:t xml:space="preserve">. В другом исследовании ОЭСР производится расчет </w:t>
      </w:r>
      <w:r w:rsidR="005A3E2E">
        <w:rPr>
          <w:rFonts w:ascii="Times New Roman" w:hAnsi="Times New Roman" w:cs="Times New Roman"/>
          <w:sz w:val="28"/>
          <w:szCs w:val="28"/>
        </w:rPr>
        <w:t>вмененной</w:t>
      </w:r>
      <w:r w:rsidRPr="00810311">
        <w:rPr>
          <w:rFonts w:ascii="Times New Roman" w:hAnsi="Times New Roman" w:cs="Times New Roman"/>
          <w:sz w:val="28"/>
          <w:szCs w:val="28"/>
        </w:rPr>
        <w:t xml:space="preserve"> ставки налога на углерод («</w:t>
      </w:r>
      <w:proofErr w:type="spellStart"/>
      <w:r w:rsidRPr="00810311">
        <w:rPr>
          <w:rFonts w:ascii="Times New Roman" w:hAnsi="Times New Roman" w:cs="Times New Roman"/>
          <w:sz w:val="28"/>
          <w:szCs w:val="28"/>
        </w:rPr>
        <w:t>Effective</w:t>
      </w:r>
      <w:proofErr w:type="spellEnd"/>
      <w:r w:rsidRPr="00810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311">
        <w:rPr>
          <w:rFonts w:ascii="Times New Roman" w:hAnsi="Times New Roman" w:cs="Times New Roman"/>
          <w:sz w:val="28"/>
          <w:szCs w:val="28"/>
        </w:rPr>
        <w:t>Carbon</w:t>
      </w:r>
      <w:proofErr w:type="spellEnd"/>
      <w:r w:rsidRPr="00810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311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Pr="00810311">
        <w:rPr>
          <w:rFonts w:ascii="Times New Roman" w:hAnsi="Times New Roman" w:cs="Times New Roman"/>
          <w:sz w:val="28"/>
          <w:szCs w:val="28"/>
        </w:rPr>
        <w:t xml:space="preserve">»), включающей в себя ценовые сигналы </w:t>
      </w:r>
      <w:r w:rsidR="000F3604">
        <w:rPr>
          <w:rFonts w:ascii="Times New Roman" w:hAnsi="Times New Roman" w:cs="Times New Roman"/>
          <w:sz w:val="28"/>
          <w:szCs w:val="28"/>
        </w:rPr>
        <w:t>СТВ</w:t>
      </w:r>
      <w:r w:rsidRPr="00810311">
        <w:rPr>
          <w:rFonts w:ascii="Times New Roman" w:hAnsi="Times New Roman" w:cs="Times New Roman"/>
          <w:sz w:val="28"/>
          <w:szCs w:val="28"/>
        </w:rPr>
        <w:t xml:space="preserve">, углеродного налога и прочих энергетических налогов, действующей в 2012 г. в 41 стране </w:t>
      </w:r>
      <w:r w:rsidR="005A3E2E">
        <w:rPr>
          <w:rFonts w:ascii="Times New Roman" w:hAnsi="Times New Roman" w:cs="Times New Roman"/>
          <w:sz w:val="28"/>
          <w:szCs w:val="28"/>
        </w:rPr>
        <w:t>(</w:t>
      </w:r>
      <w:r w:rsidRPr="00810311">
        <w:rPr>
          <w:rFonts w:ascii="Times New Roman" w:hAnsi="Times New Roman" w:cs="Times New Roman"/>
          <w:sz w:val="28"/>
          <w:szCs w:val="28"/>
        </w:rPr>
        <w:t>OCEC, 2016</w:t>
      </w:r>
      <w:r w:rsidR="005A3E2E">
        <w:rPr>
          <w:rFonts w:ascii="Times New Roman" w:hAnsi="Times New Roman" w:cs="Times New Roman"/>
          <w:sz w:val="28"/>
          <w:szCs w:val="28"/>
        </w:rPr>
        <w:t>)</w:t>
      </w:r>
      <w:r w:rsidRPr="00810311">
        <w:rPr>
          <w:rFonts w:ascii="Times New Roman" w:hAnsi="Times New Roman" w:cs="Times New Roman"/>
          <w:sz w:val="28"/>
          <w:szCs w:val="28"/>
        </w:rPr>
        <w:t xml:space="preserve">. Анализ ОЭСР основывается на детализированной статистике </w:t>
      </w:r>
      <w:r w:rsidRPr="00810311">
        <w:rPr>
          <w:rFonts w:ascii="Times New Roman" w:hAnsi="Times New Roman" w:cs="Times New Roman"/>
          <w:sz w:val="28"/>
          <w:szCs w:val="28"/>
        </w:rPr>
        <w:lastRenderedPageBreak/>
        <w:t>налогообложения в энергетической отрасли, охватывающей фискальное регулирование разных источников энергии в разных сегментах экономики.</w:t>
      </w:r>
      <w:r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Pr="00FF1CC1">
        <w:rPr>
          <w:rFonts w:ascii="Times New Roman" w:hAnsi="Times New Roman" w:cs="Times New Roman"/>
          <w:sz w:val="28"/>
          <w:szCs w:val="28"/>
        </w:rPr>
        <w:t xml:space="preserve">ряд работ посвящен вопросам эффективного сочетания </w:t>
      </w:r>
      <w:proofErr w:type="spellStart"/>
      <w:r w:rsidRPr="00FF1CC1">
        <w:rPr>
          <w:rFonts w:ascii="Times New Roman" w:hAnsi="Times New Roman" w:cs="Times New Roman"/>
          <w:sz w:val="28"/>
          <w:szCs w:val="28"/>
        </w:rPr>
        <w:t>взаимодополяющих</w:t>
      </w:r>
      <w:proofErr w:type="spellEnd"/>
      <w:r w:rsidRPr="00FF1CC1">
        <w:rPr>
          <w:rFonts w:ascii="Times New Roman" w:hAnsi="Times New Roman" w:cs="Times New Roman"/>
          <w:sz w:val="28"/>
          <w:szCs w:val="28"/>
        </w:rPr>
        <w:t xml:space="preserve"> инструментов климатической политики</w:t>
      </w:r>
      <w:r w:rsidR="00FF1CC1" w:rsidRPr="00FF1CC1">
        <w:rPr>
          <w:rFonts w:ascii="Times New Roman" w:hAnsi="Times New Roman" w:cs="Times New Roman"/>
          <w:sz w:val="28"/>
          <w:szCs w:val="28"/>
        </w:rPr>
        <w:t xml:space="preserve"> (</w:t>
      </w:r>
      <w:r w:rsidR="00FF1CC1" w:rsidRPr="00FF1CC1">
        <w:rPr>
          <w:rFonts w:ascii="Times New Roman" w:hAnsi="Times New Roman" w:cs="Times New Roman"/>
          <w:sz w:val="28"/>
          <w:szCs w:val="28"/>
          <w:lang w:val="en-US"/>
        </w:rPr>
        <w:t>IEA</w:t>
      </w:r>
      <w:r w:rsidR="00FF1CC1" w:rsidRPr="00FF1CC1">
        <w:rPr>
          <w:rFonts w:ascii="Times New Roman" w:hAnsi="Times New Roman" w:cs="Times New Roman"/>
          <w:sz w:val="28"/>
          <w:szCs w:val="28"/>
        </w:rPr>
        <w:t xml:space="preserve">, 2011; </w:t>
      </w:r>
      <w:proofErr w:type="spellStart"/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Tvinnereim</w:t>
      </w:r>
      <w:proofErr w:type="spellEnd"/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and</w:t>
      </w:r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Mehling</w:t>
      </w:r>
      <w:proofErr w:type="spellEnd"/>
      <w:r w:rsidR="00FF1CC1" w:rsidRPr="00FF1C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2018)</w:t>
      </w:r>
      <w:r w:rsidRPr="00FF1C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3D8" w:rsidRPr="00FF1CC1" w:rsidRDefault="000663D8" w:rsidP="009A423E">
      <w:pPr>
        <w:pStyle w:val="1"/>
        <w:rPr>
          <w:rStyle w:val="12"/>
          <w:b/>
          <w:shd w:val="clear" w:color="auto" w:fill="auto"/>
        </w:rPr>
      </w:pPr>
      <w:r w:rsidRPr="00FF1CC1">
        <w:rPr>
          <w:rStyle w:val="12"/>
          <w:b/>
          <w:shd w:val="clear" w:color="auto" w:fill="auto"/>
        </w:rPr>
        <w:lastRenderedPageBreak/>
        <w:t>Основные результаты исследования и положения, выносимые на защиту</w:t>
      </w:r>
    </w:p>
    <w:p w:rsidR="00A013AB" w:rsidRPr="00A013AB" w:rsidRDefault="00E54BF1" w:rsidP="00A013AB">
      <w:pPr>
        <w:pStyle w:val="a4"/>
        <w:spacing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Э</w:t>
      </w:r>
      <w:r w:rsidR="00A013AB" w:rsidRPr="00A013AB">
        <w:rPr>
          <w:rFonts w:ascii="Times New Roman" w:eastAsiaTheme="minorHAnsi" w:hAnsi="Times New Roman"/>
          <w:sz w:val="28"/>
          <w:szCs w:val="28"/>
        </w:rPr>
        <w:t xml:space="preserve">кономические инструменты регулирования выбросов </w:t>
      </w:r>
      <w:r w:rsidR="00A013AB">
        <w:rPr>
          <w:rFonts w:ascii="Times New Roman" w:eastAsiaTheme="minorHAnsi" w:hAnsi="Times New Roman"/>
          <w:sz w:val="28"/>
          <w:szCs w:val="28"/>
        </w:rPr>
        <w:t>в значительной степени превосходят иные меры климатической политики в части своей экономической эффективност</w:t>
      </w:r>
      <w:r w:rsidR="00A013AB" w:rsidRPr="00A013AB">
        <w:rPr>
          <w:rFonts w:ascii="Times New Roman" w:eastAsiaTheme="minorHAnsi" w:hAnsi="Times New Roman"/>
          <w:sz w:val="28"/>
          <w:szCs w:val="28"/>
        </w:rPr>
        <w:t>и – возможности уравнять предельные издержки по сокращению выбросов между эмитентами и способами сокращения выбросов</w:t>
      </w:r>
      <w:r w:rsidR="00A013AB">
        <w:rPr>
          <w:rFonts w:ascii="Times New Roman" w:eastAsiaTheme="minorHAnsi" w:hAnsi="Times New Roman"/>
          <w:sz w:val="28"/>
          <w:szCs w:val="28"/>
        </w:rPr>
        <w:t xml:space="preserve"> и достичь сокращения выбросов с наименьшими затратами для экономической системы</w:t>
      </w:r>
      <w:r w:rsidR="00A013AB" w:rsidRPr="00A013AB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013AB" w:rsidRPr="00A013AB" w:rsidRDefault="00A013AB" w:rsidP="00A013AB">
      <w:pPr>
        <w:pStyle w:val="a4"/>
        <w:spacing w:line="36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013AB">
        <w:rPr>
          <w:rFonts w:ascii="Times New Roman" w:eastAsiaTheme="minorHAnsi" w:hAnsi="Times New Roman"/>
          <w:sz w:val="28"/>
          <w:szCs w:val="28"/>
        </w:rPr>
        <w:t xml:space="preserve">Вместе с тем использование экономических инструментов регулирования выбросов связано с целым рядом трудностей. Эффективное использование экономических инструментов регулирования выбросов во многом ограничивается неопределенностью технологического и экономического развития стран мира. </w:t>
      </w:r>
      <w:r w:rsidRPr="00A013AB">
        <w:rPr>
          <w:rFonts w:ascii="Times New Roman" w:eastAsiaTheme="minorEastAsia" w:hAnsi="Times New Roman"/>
          <w:sz w:val="28"/>
          <w:szCs w:val="28"/>
        </w:rPr>
        <w:t>Во-вторых, при формировании системы экономического регулирования парниковых выбросов в расчет нужно принимать так называемый эффект наложения налогов («</w:t>
      </w:r>
      <w:proofErr w:type="spellStart"/>
      <w:r w:rsidRPr="00A013AB">
        <w:rPr>
          <w:rFonts w:ascii="Times New Roman" w:eastAsiaTheme="minorEastAsia" w:hAnsi="Times New Roman"/>
          <w:sz w:val="28"/>
          <w:szCs w:val="28"/>
        </w:rPr>
        <w:t>tax-interaction</w:t>
      </w:r>
      <w:proofErr w:type="spellEnd"/>
      <w:r w:rsidRPr="00A013AB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A013AB">
        <w:rPr>
          <w:rFonts w:ascii="Times New Roman" w:eastAsiaTheme="minorEastAsia" w:hAnsi="Times New Roman"/>
          <w:sz w:val="28"/>
          <w:szCs w:val="28"/>
        </w:rPr>
        <w:t>effect</w:t>
      </w:r>
      <w:proofErr w:type="spellEnd"/>
      <w:r w:rsidRPr="00A013AB">
        <w:rPr>
          <w:rFonts w:ascii="Times New Roman" w:eastAsiaTheme="minorEastAsia" w:hAnsi="Times New Roman"/>
          <w:sz w:val="28"/>
          <w:szCs w:val="28"/>
        </w:rPr>
        <w:t xml:space="preserve">»), который может возникать при внедрении новых инструментов регулирования выбросов в систему действующих налогов, в том числе в энергетическом секторе. Введение цены на парниковые выбросы в той или иной форме неизбежно будет вести к увеличению стоимости любой продукции, в особенности энергоемкой. В таких условиях возможна ситуация, когда дополнительные инструменты экономического регулирования могут стать причиной отклонения экономики от эффективного состояния. С точки зрения экономической теории введение углеродного налога или </w:t>
      </w:r>
      <w:r w:rsidR="000F3604">
        <w:rPr>
          <w:rFonts w:ascii="Times New Roman" w:eastAsiaTheme="minorEastAsia" w:hAnsi="Times New Roman"/>
          <w:sz w:val="28"/>
          <w:szCs w:val="28"/>
        </w:rPr>
        <w:t>СТВ</w:t>
      </w:r>
      <w:r w:rsidRPr="00A013AB">
        <w:rPr>
          <w:rFonts w:ascii="Times New Roman" w:eastAsiaTheme="minorEastAsia" w:hAnsi="Times New Roman"/>
          <w:sz w:val="28"/>
          <w:szCs w:val="28"/>
        </w:rPr>
        <w:t xml:space="preserve"> в действующую систему экономического регулирования будет вести к повышению экономической эффективности в рамках частного равновесия, но может быть причиной отклонения экономики от </w:t>
      </w:r>
      <w:proofErr w:type="gramStart"/>
      <w:r w:rsidRPr="00A013AB">
        <w:rPr>
          <w:rFonts w:ascii="Times New Roman" w:eastAsiaTheme="minorEastAsia" w:hAnsi="Times New Roman"/>
          <w:sz w:val="28"/>
          <w:szCs w:val="28"/>
        </w:rPr>
        <w:t>Парето-оптимального</w:t>
      </w:r>
      <w:proofErr w:type="gramEnd"/>
      <w:r w:rsidRPr="00A013AB">
        <w:rPr>
          <w:rFonts w:ascii="Times New Roman" w:eastAsiaTheme="minorEastAsia" w:hAnsi="Times New Roman"/>
          <w:sz w:val="28"/>
          <w:szCs w:val="28"/>
        </w:rPr>
        <w:t xml:space="preserve"> состояния в общем равновесии. Причем вероятность такого отклонения будет тем выше, чем сильнее роль уже действующих налоговых инструментов. </w:t>
      </w:r>
    </w:p>
    <w:p w:rsidR="00A013AB" w:rsidRPr="00A013AB" w:rsidRDefault="00A013AB" w:rsidP="00A013A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13AB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Наконец, </w:t>
      </w:r>
      <w:r w:rsidRPr="00A013AB">
        <w:rPr>
          <w:rFonts w:ascii="Times New Roman" w:hAnsi="Times New Roman" w:cs="Times New Roman"/>
          <w:sz w:val="28"/>
          <w:szCs w:val="28"/>
        </w:rPr>
        <w:t>эффективность использования экономических инструментов во многом зависит от качества нормативно-правовой среды, транзакционных издержек, а также других факторов институционального характера</w:t>
      </w:r>
      <w:r w:rsidR="005A3E2E" w:rsidRPr="005A3E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A3E2E">
        <w:rPr>
          <w:rFonts w:ascii="Times New Roman" w:hAnsi="Times New Roman" w:cs="Times New Roman"/>
          <w:sz w:val="28"/>
          <w:szCs w:val="28"/>
          <w:lang w:val="en-US"/>
        </w:rPr>
        <w:t>Goulder</w:t>
      </w:r>
      <w:proofErr w:type="spellEnd"/>
      <w:r w:rsidR="005A3E2E" w:rsidRPr="005A3E2E">
        <w:rPr>
          <w:rFonts w:ascii="Times New Roman" w:hAnsi="Times New Roman" w:cs="Times New Roman"/>
          <w:sz w:val="28"/>
          <w:szCs w:val="28"/>
        </w:rPr>
        <w:t xml:space="preserve"> </w:t>
      </w:r>
      <w:r w:rsidR="005A3E2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5A3E2E" w:rsidRPr="005A3E2E">
        <w:rPr>
          <w:rFonts w:ascii="Times New Roman" w:hAnsi="Times New Roman" w:cs="Times New Roman"/>
          <w:sz w:val="28"/>
          <w:szCs w:val="28"/>
        </w:rPr>
        <w:t xml:space="preserve"> </w:t>
      </w:r>
      <w:r w:rsidR="005A3E2E">
        <w:rPr>
          <w:rFonts w:ascii="Times New Roman" w:hAnsi="Times New Roman" w:cs="Times New Roman"/>
          <w:sz w:val="28"/>
          <w:szCs w:val="28"/>
          <w:lang w:val="en-US"/>
        </w:rPr>
        <w:t>Parry</w:t>
      </w:r>
      <w:r w:rsidR="005A3E2E" w:rsidRPr="005A3E2E">
        <w:rPr>
          <w:rFonts w:ascii="Times New Roman" w:hAnsi="Times New Roman" w:cs="Times New Roman"/>
          <w:sz w:val="28"/>
          <w:szCs w:val="28"/>
        </w:rPr>
        <w:t>, 2008)</w:t>
      </w:r>
      <w:r w:rsidRPr="00A013AB">
        <w:rPr>
          <w:rFonts w:ascii="Times New Roman" w:hAnsi="Times New Roman" w:cs="Times New Roman"/>
          <w:sz w:val="28"/>
          <w:szCs w:val="28"/>
        </w:rPr>
        <w:t xml:space="preserve">. В этой связи решающую роль </w:t>
      </w:r>
      <w:r w:rsidRPr="00A013AB">
        <w:rPr>
          <w:rFonts w:ascii="Times New Roman" w:eastAsiaTheme="minorEastAsia" w:hAnsi="Times New Roman" w:cs="Times New Roman"/>
          <w:sz w:val="28"/>
          <w:szCs w:val="28"/>
        </w:rPr>
        <w:t xml:space="preserve">при запуске новых экономических инструментов играют издержки администрирования. В случае регулирования парниковых выбросов, принципиальным вопросом является соблюдение общих требований к сокращению выбросов, подотчетность предприятий-эмитентов, </w:t>
      </w:r>
      <w:proofErr w:type="spellStart"/>
      <w:r w:rsidRPr="00A013AB">
        <w:rPr>
          <w:rFonts w:ascii="Times New Roman" w:eastAsiaTheme="minorEastAsia" w:hAnsi="Times New Roman" w:cs="Times New Roman"/>
          <w:sz w:val="28"/>
          <w:szCs w:val="28"/>
        </w:rPr>
        <w:t>откалиброванность</w:t>
      </w:r>
      <w:proofErr w:type="spellEnd"/>
      <w:r w:rsidRPr="00A013AB">
        <w:rPr>
          <w:rFonts w:ascii="Times New Roman" w:eastAsiaTheme="minorEastAsia" w:hAnsi="Times New Roman" w:cs="Times New Roman"/>
          <w:sz w:val="28"/>
          <w:szCs w:val="28"/>
        </w:rPr>
        <w:t xml:space="preserve"> санкций, действующих при нарушении требований или искажении отчетности. </w:t>
      </w:r>
    </w:p>
    <w:p w:rsidR="00A013AB" w:rsidRPr="00A013AB" w:rsidRDefault="00A013AB" w:rsidP="00A013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3AB">
        <w:rPr>
          <w:rFonts w:ascii="Times New Roman" w:eastAsiaTheme="minorEastAsia" w:hAnsi="Times New Roman" w:cs="Times New Roman"/>
          <w:sz w:val="28"/>
          <w:szCs w:val="28"/>
        </w:rPr>
        <w:t xml:space="preserve">Для стран с недостаточно развитой нормативно-правовой и институциональной средой высокие издержки определения правильного дизайна инструмента (в том числе определения размера цены на выбросы), контроля и управления могут сводить к нулю положительный эффект от дополнительных мер экономического регулирования выбросов. В дополнение к этому, в отличие от углеродного налога, который по большей части может встраиваться в существующую фискальную инфраструктуру, запуск </w:t>
      </w:r>
      <w:r w:rsidR="000F3604">
        <w:rPr>
          <w:rFonts w:ascii="Times New Roman" w:eastAsiaTheme="minorEastAsia" w:hAnsi="Times New Roman" w:cs="Times New Roman"/>
          <w:sz w:val="28"/>
          <w:szCs w:val="28"/>
        </w:rPr>
        <w:t>СТВ</w:t>
      </w:r>
      <w:r w:rsidRPr="00A013AB">
        <w:rPr>
          <w:rFonts w:ascii="Times New Roman" w:eastAsiaTheme="minorEastAsia" w:hAnsi="Times New Roman" w:cs="Times New Roman"/>
          <w:sz w:val="28"/>
          <w:szCs w:val="28"/>
        </w:rPr>
        <w:t xml:space="preserve"> требует создания новых экономических институтов (площадок для торговли, систем аукционирования, регуляторов рынка разрешений и т.д.), повышающих коррупционные риски.</w:t>
      </w:r>
      <w:r w:rsidRPr="00A013AB">
        <w:rPr>
          <w:rFonts w:ascii="Times New Roman" w:hAnsi="Times New Roman" w:cs="Times New Roman"/>
          <w:sz w:val="28"/>
          <w:szCs w:val="28"/>
        </w:rPr>
        <w:t xml:space="preserve"> Для обеспечения устойчивого функционирования «прямых» инструментов регулирования выбросов, особенно в развивающихся странах, их внедрение должно осуществляться постепенно и быть синхронизировано с работой действующей системы мер фискальной политики. </w:t>
      </w:r>
    </w:p>
    <w:p w:rsidR="00A013AB" w:rsidRPr="00A013AB" w:rsidRDefault="00A013AB" w:rsidP="00BD26DD">
      <w:pPr>
        <w:pStyle w:val="a4"/>
        <w:spacing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Европейский опыт государственного регулирования позволяет говорить о том, что не меньшую важность в определении динамики выбросов играют косвенные инструменты регулирования выбросов – прочие налоги и субсидии на ископаемое топливо.</w:t>
      </w:r>
      <w:r w:rsidR="00BD26DD">
        <w:rPr>
          <w:rFonts w:ascii="Times New Roman" w:eastAsiaTheme="minorHAnsi" w:hAnsi="Times New Roman"/>
          <w:sz w:val="28"/>
          <w:szCs w:val="28"/>
        </w:rPr>
        <w:t xml:space="preserve"> </w:t>
      </w:r>
      <w:r w:rsidR="00BD26DD" w:rsidRPr="00A013AB">
        <w:rPr>
          <w:rFonts w:ascii="Times New Roman" w:eastAsiaTheme="minorHAnsi" w:hAnsi="Times New Roman"/>
          <w:sz w:val="28"/>
          <w:szCs w:val="28"/>
        </w:rPr>
        <w:t xml:space="preserve">Динамика выбросов парниковых газов в значительной степени зависит от изменений условий </w:t>
      </w:r>
      <w:proofErr w:type="spellStart"/>
      <w:r w:rsidR="00BD26DD" w:rsidRPr="00A013AB">
        <w:rPr>
          <w:rFonts w:ascii="Times New Roman" w:eastAsiaTheme="minorHAnsi" w:hAnsi="Times New Roman"/>
          <w:sz w:val="28"/>
          <w:szCs w:val="28"/>
        </w:rPr>
        <w:t>межтопливной</w:t>
      </w:r>
      <w:proofErr w:type="spellEnd"/>
      <w:r w:rsidR="00BD26DD" w:rsidRPr="00A013AB">
        <w:rPr>
          <w:rFonts w:ascii="Times New Roman" w:eastAsiaTheme="minorHAnsi" w:hAnsi="Times New Roman"/>
          <w:sz w:val="28"/>
          <w:szCs w:val="28"/>
        </w:rPr>
        <w:t xml:space="preserve"> конкуренций. Они в свою очередь являются производной от изменения относительных цен на различные источники энергии. </w:t>
      </w:r>
      <w:r>
        <w:rPr>
          <w:rFonts w:ascii="Times New Roman" w:eastAsiaTheme="minorHAnsi" w:hAnsi="Times New Roman"/>
          <w:sz w:val="28"/>
          <w:szCs w:val="28"/>
        </w:rPr>
        <w:t xml:space="preserve">Результаты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эконометрического анализа </w:t>
      </w:r>
      <w:r w:rsidRPr="00A013AB">
        <w:rPr>
          <w:rFonts w:ascii="Times New Roman" w:eastAsiaTheme="minorHAnsi" w:hAnsi="Times New Roman"/>
          <w:sz w:val="28"/>
          <w:szCs w:val="28"/>
        </w:rPr>
        <w:t xml:space="preserve">указывают на то, что изменение ценового сигнала совокупности энергетических налогов играет существенную роль в определении динамики </w:t>
      </w:r>
      <w:proofErr w:type="spellStart"/>
      <w:r w:rsidRPr="00A013AB">
        <w:rPr>
          <w:rFonts w:ascii="Times New Roman" w:eastAsiaTheme="minorHAnsi" w:hAnsi="Times New Roman"/>
          <w:sz w:val="28"/>
          <w:szCs w:val="28"/>
        </w:rPr>
        <w:t>углеродоемкости</w:t>
      </w:r>
      <w:proofErr w:type="spellEnd"/>
      <w:r w:rsidRPr="00A013AB">
        <w:rPr>
          <w:rFonts w:ascii="Times New Roman" w:eastAsiaTheme="minorHAnsi" w:hAnsi="Times New Roman"/>
          <w:sz w:val="28"/>
          <w:szCs w:val="28"/>
        </w:rPr>
        <w:t xml:space="preserve"> ВВП. Несмотря на то, что их основное назначение – не в ограничении выбросов диоксида углерода, их влияние на уровень </w:t>
      </w:r>
      <w:proofErr w:type="spellStart"/>
      <w:r w:rsidRPr="00A013AB">
        <w:rPr>
          <w:rFonts w:ascii="Times New Roman" w:eastAsiaTheme="minorHAnsi" w:hAnsi="Times New Roman"/>
          <w:sz w:val="28"/>
          <w:szCs w:val="28"/>
        </w:rPr>
        <w:t>углеродоемкости</w:t>
      </w:r>
      <w:proofErr w:type="spellEnd"/>
      <w:r w:rsidRPr="00A013AB">
        <w:rPr>
          <w:rFonts w:ascii="Times New Roman" w:eastAsiaTheme="minorHAnsi" w:hAnsi="Times New Roman"/>
          <w:sz w:val="28"/>
          <w:szCs w:val="28"/>
        </w:rPr>
        <w:t xml:space="preserve"> ВВП на протяжении 1995-2016 гг. было в среднем в два раза выше влияния каждого из «прямых» инструментов регулирования выбросов – углеродного налога и </w:t>
      </w:r>
      <w:r w:rsidR="000F3604">
        <w:rPr>
          <w:rFonts w:ascii="Times New Roman" w:eastAsiaTheme="minorHAnsi" w:hAnsi="Times New Roman"/>
          <w:sz w:val="28"/>
          <w:szCs w:val="28"/>
        </w:rPr>
        <w:t>СТВ</w:t>
      </w:r>
      <w:r w:rsidRPr="00A013AB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013AB" w:rsidRDefault="00A013AB" w:rsidP="00A013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3AB">
        <w:rPr>
          <w:rFonts w:ascii="Times New Roman" w:hAnsi="Times New Roman" w:cs="Times New Roman"/>
          <w:sz w:val="28"/>
          <w:szCs w:val="28"/>
        </w:rPr>
        <w:t xml:space="preserve">Учет столь масштабного влияния прочих мер экономического регулирования энергетического комплекса на объем выбросов парниковых газов играет принципиальную роль при запуске государственных систем регулирования выбросов на основе углеродного налога и </w:t>
      </w:r>
      <w:r w:rsidR="000F3604">
        <w:rPr>
          <w:rFonts w:ascii="Times New Roman" w:hAnsi="Times New Roman" w:cs="Times New Roman"/>
          <w:sz w:val="28"/>
          <w:szCs w:val="28"/>
        </w:rPr>
        <w:t>СТВ</w:t>
      </w:r>
      <w:r w:rsidRPr="00A013AB">
        <w:rPr>
          <w:rFonts w:ascii="Times New Roman" w:hAnsi="Times New Roman" w:cs="Times New Roman"/>
          <w:sz w:val="28"/>
          <w:szCs w:val="28"/>
        </w:rPr>
        <w:t>. Во-первых, одностороннее внедрение «прямых» инструментов регулирования выбросов без учета изменений прочих налогов в энергетике может сводить к нулю экологическую эффективность дополнительных мер климатической политики. Выходит, что теоретически эффект сокращения выбросов от увеличения каждого из «прямых» ценовых сигналов на 1% может быть перекрыт противодействующим эффектом, вызванным 1%-</w:t>
      </w:r>
      <w:proofErr w:type="spellStart"/>
      <w:r w:rsidRPr="00A013AB">
        <w:rPr>
          <w:rFonts w:ascii="Times New Roman" w:hAnsi="Times New Roman" w:cs="Times New Roman"/>
          <w:sz w:val="28"/>
          <w:szCs w:val="28"/>
        </w:rPr>
        <w:t>тным</w:t>
      </w:r>
      <w:proofErr w:type="spellEnd"/>
      <w:r w:rsidRPr="00A013AB">
        <w:rPr>
          <w:rFonts w:ascii="Times New Roman" w:hAnsi="Times New Roman" w:cs="Times New Roman"/>
          <w:sz w:val="28"/>
          <w:szCs w:val="28"/>
        </w:rPr>
        <w:t xml:space="preserve"> снижением «косвенных» ценовых сигналов в силу значительно большего охвата выбросов.</w:t>
      </w:r>
    </w:p>
    <w:p w:rsidR="00BD26DD" w:rsidRPr="00E54BF1" w:rsidRDefault="00FF1CC1" w:rsidP="009A423E">
      <w:pPr>
        <w:pStyle w:val="1"/>
      </w:pPr>
      <w:r>
        <w:lastRenderedPageBreak/>
        <w:t>Направления дальнейших исследований, п</w:t>
      </w:r>
      <w:r w:rsidR="007D2A98" w:rsidRPr="00E54BF1">
        <w:t>редварительные результаты</w:t>
      </w:r>
      <w:r w:rsidR="0041049A">
        <w:t xml:space="preserve"> и рекомендации</w:t>
      </w:r>
    </w:p>
    <w:p w:rsidR="007D2A98" w:rsidRPr="00E54BF1" w:rsidRDefault="00E54BF1" w:rsidP="00E54B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перечисленных ограничений</w:t>
      </w:r>
      <w:r w:rsidR="007D2A98" w:rsidRPr="00E54BF1">
        <w:rPr>
          <w:rFonts w:ascii="Times New Roman" w:hAnsi="Times New Roman" w:cs="Times New Roman"/>
          <w:sz w:val="28"/>
          <w:szCs w:val="28"/>
        </w:rPr>
        <w:t xml:space="preserve"> принципиально важно понимать, что высокая цена на углерод – не самоцель успешной климатической политики, а элемент эффективного сокращения выбросов в тех странах и отраслях экономики, где это возможно. Устройство инструментов климатической политики должно в максимальной степени учитывать специфику страны, приоритеты ее модернизации и параллельно должно быть направлено на решение других насущных проблем социально-экономического развития, как это делается в других странах. В ЕС задачи климатической политики тесно увязаны с проблемами энергетической безопасности, нехваткой собственных энергоресурсов и задачами развития ВИЭ; в Китае климатическая политика во многом используется и для решения проблем локального загрязнения воздуха и задач здравоохранения. </w:t>
      </w:r>
    </w:p>
    <w:p w:rsidR="007D2A98" w:rsidRPr="00E54BF1" w:rsidRDefault="007D2A98" w:rsidP="00E54B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E54BF1">
        <w:rPr>
          <w:rFonts w:ascii="Times New Roman" w:hAnsi="Times New Roman" w:cs="Times New Roman"/>
          <w:sz w:val="28"/>
          <w:szCs w:val="28"/>
        </w:rPr>
        <w:t>Для российской экономики одним из таких приоритетов, напрямую связанным с задачами климатической политики, является повышение энергоэффективности. Задачи повышения энергоэффективности отмечены в ряде государственных нормативно-правовых документов, включая Энергетическую стратегию развития России до 2030 г., государственную программу Развития энергетики (бывшая государственная программа «Энергоэффективность и развитие энергетики») и др. Повышение энергоэффективности является залогом решения ряда социально-экономических задач, среди которых снижение коммунальных тарифов,  повышение международной конкурентоспособности российской промышленности</w:t>
      </w:r>
      <w:r w:rsidRPr="00E54BF1">
        <w:rPr>
          <w:rFonts w:ascii="Times New Roman" w:hAnsi="Times New Roman" w:cs="Times New Roman"/>
          <w:sz w:val="28"/>
          <w:szCs w:val="28"/>
          <w:lang w:val="az-Cyrl-AZ"/>
        </w:rPr>
        <w:t xml:space="preserve"> и др.</w:t>
      </w:r>
    </w:p>
    <w:p w:rsidR="007D2A98" w:rsidRPr="00E54BF1" w:rsidRDefault="007D2A98" w:rsidP="00E54B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F1">
        <w:rPr>
          <w:rFonts w:ascii="Times New Roman" w:hAnsi="Times New Roman" w:cs="Times New Roman"/>
          <w:sz w:val="28"/>
          <w:szCs w:val="28"/>
        </w:rPr>
        <w:t xml:space="preserve">Тем не менее действующая в российском ТЭК налоговая система имеет преимущественно фискальную функцию и не в полной мере способна стимулировать инициативы по повышению энергоэффективности. Во многом это сопряжено с тем, что налоговая база преимущественно находится на </w:t>
      </w:r>
      <w:r w:rsidRPr="00E54BF1">
        <w:rPr>
          <w:rFonts w:ascii="Times New Roman" w:hAnsi="Times New Roman" w:cs="Times New Roman"/>
          <w:sz w:val="28"/>
          <w:szCs w:val="28"/>
        </w:rPr>
        <w:lastRenderedPageBreak/>
        <w:t>уровне добычи и производства энергетических ресурсов, что в результате не создает достаточных условий для сокращения удельного расхода энергоресурсов на уровне потребления. НДПИ, на который приходится более 90%</w:t>
      </w:r>
      <w:r w:rsidRPr="00E54B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4BF1">
        <w:rPr>
          <w:rFonts w:ascii="Times New Roman" w:hAnsi="Times New Roman" w:cs="Times New Roman"/>
          <w:sz w:val="28"/>
          <w:szCs w:val="28"/>
        </w:rPr>
        <w:t>налоговых поступлений от ТЭК, лишь косвенно ограничивает объемы используемой промышленными предприятиями энергии (через общее повышение уровня цен), не создавая стимулов к осуществлению модернизации энергопотребляющего оборудования.</w:t>
      </w:r>
    </w:p>
    <w:p w:rsidR="007D2A98" w:rsidRPr="00E54BF1" w:rsidRDefault="007D2A98" w:rsidP="00E54BF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BF1">
        <w:rPr>
          <w:rFonts w:ascii="Times New Roman" w:hAnsi="Times New Roman" w:cs="Times New Roman"/>
          <w:sz w:val="28"/>
          <w:szCs w:val="28"/>
        </w:rPr>
        <w:t xml:space="preserve">Вместе с тем именно в повышении </w:t>
      </w:r>
      <w:proofErr w:type="spellStart"/>
      <w:r w:rsidRPr="00E54BF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54BF1">
        <w:rPr>
          <w:rFonts w:ascii="Times New Roman" w:hAnsi="Times New Roman" w:cs="Times New Roman"/>
          <w:sz w:val="28"/>
          <w:szCs w:val="28"/>
        </w:rPr>
        <w:t xml:space="preserve"> российской экономики </w:t>
      </w:r>
      <w:r w:rsidRPr="005A3E2E">
        <w:rPr>
          <w:rFonts w:ascii="Times New Roman" w:hAnsi="Times New Roman" w:cs="Times New Roman"/>
          <w:sz w:val="28"/>
          <w:szCs w:val="28"/>
        </w:rPr>
        <w:t>лежат основные возможности сокращения выбросов парниковых газов в России</w:t>
      </w:r>
      <w:r w:rsidR="005A3E2E" w:rsidRPr="005A3E2E">
        <w:rPr>
          <w:rFonts w:ascii="Times New Roman" w:hAnsi="Times New Roman" w:cs="Times New Roman"/>
          <w:sz w:val="28"/>
          <w:szCs w:val="28"/>
        </w:rPr>
        <w:t xml:space="preserve"> (</w:t>
      </w:r>
      <w:r w:rsidR="005A3E2E" w:rsidRPr="005A3E2E">
        <w:rPr>
          <w:rFonts w:ascii="Times New Roman" w:hAnsi="Times New Roman" w:cs="Times New Roman"/>
          <w:sz w:val="28"/>
          <w:szCs w:val="28"/>
          <w:lang w:val="en-US"/>
        </w:rPr>
        <w:t>McKinsey</w:t>
      </w:r>
      <w:r w:rsidR="005A3E2E" w:rsidRPr="005A3E2E">
        <w:rPr>
          <w:rFonts w:ascii="Times New Roman" w:hAnsi="Times New Roman" w:cs="Times New Roman"/>
          <w:sz w:val="28"/>
          <w:szCs w:val="28"/>
        </w:rPr>
        <w:t xml:space="preserve">  &amp; </w:t>
      </w:r>
      <w:r w:rsidR="005A3E2E" w:rsidRPr="005A3E2E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="005A3E2E" w:rsidRPr="005A3E2E">
        <w:rPr>
          <w:rFonts w:ascii="Times New Roman" w:hAnsi="Times New Roman" w:cs="Times New Roman"/>
          <w:sz w:val="28"/>
          <w:szCs w:val="28"/>
        </w:rPr>
        <w:t>, 2009)</w:t>
      </w:r>
      <w:r w:rsidRPr="005A3E2E">
        <w:rPr>
          <w:rFonts w:ascii="Times New Roman" w:hAnsi="Times New Roman" w:cs="Times New Roman"/>
          <w:sz w:val="28"/>
          <w:szCs w:val="28"/>
        </w:rPr>
        <w:t xml:space="preserve">. Удельный расход энергии для производства единицы стоимости конечной продукции в России один из наиболее </w:t>
      </w:r>
      <w:proofErr w:type="gramStart"/>
      <w:r w:rsidRPr="005A3E2E"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 w:rsidRPr="005A3E2E">
        <w:rPr>
          <w:rFonts w:ascii="Times New Roman" w:hAnsi="Times New Roman" w:cs="Times New Roman"/>
          <w:sz w:val="28"/>
          <w:szCs w:val="28"/>
        </w:rPr>
        <w:t xml:space="preserve"> в мире</w:t>
      </w:r>
      <w:r w:rsidR="005A3E2E" w:rsidRPr="005A3E2E">
        <w:rPr>
          <w:rFonts w:ascii="Times New Roman" w:hAnsi="Times New Roman" w:cs="Times New Roman"/>
          <w:sz w:val="28"/>
          <w:szCs w:val="28"/>
        </w:rPr>
        <w:t xml:space="preserve"> (</w:t>
      </w:r>
      <w:r w:rsidR="005A3E2E" w:rsidRPr="005A3E2E">
        <w:rPr>
          <w:rFonts w:ascii="Times New Roman" w:hAnsi="Times New Roman" w:cs="Times New Roman"/>
          <w:sz w:val="28"/>
          <w:szCs w:val="28"/>
          <w:lang w:val="en-US"/>
        </w:rPr>
        <w:t>Jerry</w:t>
      </w:r>
      <w:r w:rsidR="005A3E2E" w:rsidRPr="005A3E2E">
        <w:rPr>
          <w:rFonts w:ascii="Times New Roman" w:hAnsi="Times New Roman" w:cs="Times New Roman"/>
          <w:sz w:val="28"/>
          <w:szCs w:val="28"/>
        </w:rPr>
        <w:t xml:space="preserve"> </w:t>
      </w:r>
      <w:r w:rsidR="005A3E2E" w:rsidRPr="005A3E2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5A3E2E" w:rsidRPr="005A3E2E">
        <w:rPr>
          <w:rFonts w:ascii="Times New Roman" w:hAnsi="Times New Roman" w:cs="Times New Roman"/>
          <w:sz w:val="28"/>
          <w:szCs w:val="28"/>
        </w:rPr>
        <w:t xml:space="preserve"> </w:t>
      </w:r>
      <w:r w:rsidR="005A3E2E" w:rsidRPr="005A3E2E">
        <w:rPr>
          <w:rFonts w:ascii="Times New Roman" w:hAnsi="Times New Roman" w:cs="Times New Roman"/>
          <w:sz w:val="28"/>
          <w:szCs w:val="28"/>
          <w:lang w:val="en-US"/>
        </w:rPr>
        <w:t>Byers</w:t>
      </w:r>
      <w:r w:rsidR="005A3E2E" w:rsidRPr="005A3E2E">
        <w:rPr>
          <w:rFonts w:ascii="Times New Roman" w:hAnsi="Times New Roman" w:cs="Times New Roman"/>
          <w:sz w:val="28"/>
          <w:szCs w:val="28"/>
        </w:rPr>
        <w:t>, 2017)</w:t>
      </w:r>
      <w:r w:rsidRPr="005A3E2E">
        <w:rPr>
          <w:rFonts w:ascii="Times New Roman" w:hAnsi="Times New Roman" w:cs="Times New Roman"/>
          <w:sz w:val="28"/>
          <w:szCs w:val="28"/>
        </w:rPr>
        <w:t>.</w:t>
      </w:r>
      <w:r w:rsidRPr="00E54B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BF1">
        <w:rPr>
          <w:rFonts w:ascii="Times New Roman" w:hAnsi="Times New Roman" w:cs="Times New Roman"/>
          <w:sz w:val="28"/>
          <w:szCs w:val="28"/>
        </w:rPr>
        <w:t>Оценки затрат на сокращение выбросов в России указывают на то, что сокращать выбросы в России дешево и основной</w:t>
      </w:r>
      <w:proofErr w:type="gramEnd"/>
      <w:r w:rsidRPr="00E54BF1">
        <w:rPr>
          <w:rFonts w:ascii="Times New Roman" w:hAnsi="Times New Roman" w:cs="Times New Roman"/>
          <w:sz w:val="28"/>
          <w:szCs w:val="28"/>
        </w:rPr>
        <w:t xml:space="preserve"> потенциал их сокращения – в повышении энергоэффективности промышленных процессов, систем энергоснабжения и коммунальных услуг и др.</w:t>
      </w:r>
      <w:r w:rsidR="005A3E2E" w:rsidRPr="005A3E2E">
        <w:rPr>
          <w:rFonts w:ascii="Times New Roman" w:hAnsi="Times New Roman" w:cs="Times New Roman"/>
          <w:sz w:val="28"/>
          <w:szCs w:val="28"/>
        </w:rPr>
        <w:t xml:space="preserve"> (</w:t>
      </w:r>
      <w:r w:rsidR="005A3E2E" w:rsidRPr="005A3E2E">
        <w:rPr>
          <w:rFonts w:ascii="Times New Roman" w:hAnsi="Times New Roman" w:cs="Times New Roman"/>
          <w:sz w:val="28"/>
          <w:szCs w:val="28"/>
          <w:lang w:val="en-US"/>
        </w:rPr>
        <w:t>McKinsey</w:t>
      </w:r>
      <w:r w:rsidR="005A3E2E" w:rsidRPr="005A3E2E">
        <w:rPr>
          <w:rFonts w:ascii="Times New Roman" w:hAnsi="Times New Roman" w:cs="Times New Roman"/>
          <w:sz w:val="28"/>
          <w:szCs w:val="28"/>
        </w:rPr>
        <w:t xml:space="preserve">  &amp; </w:t>
      </w:r>
      <w:r w:rsidR="005A3E2E" w:rsidRPr="005A3E2E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="005A3E2E" w:rsidRPr="005A3E2E">
        <w:rPr>
          <w:rFonts w:ascii="Times New Roman" w:hAnsi="Times New Roman" w:cs="Times New Roman"/>
          <w:sz w:val="28"/>
          <w:szCs w:val="28"/>
        </w:rPr>
        <w:t>, 2009)</w:t>
      </w:r>
      <w:r w:rsidR="005A3E2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54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A98" w:rsidRPr="00E54BF1" w:rsidRDefault="007D2A98" w:rsidP="00E54B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F1">
        <w:rPr>
          <w:rFonts w:ascii="Times New Roman" w:hAnsi="Times New Roman" w:cs="Times New Roman"/>
          <w:sz w:val="28"/>
          <w:szCs w:val="28"/>
        </w:rPr>
        <w:t>В этой связи эффективная система фискального регулирования ТЭК должна в большей степени охватывать сектор потребления энергоресурсов, т.к. именно от его развития будут зависеть темпы роста энергоэффективности российской экономики и динамика выбросов</w:t>
      </w:r>
      <w:r w:rsidRPr="00E54BF1">
        <w:rPr>
          <w:rFonts w:ascii="Times New Roman" w:hAnsi="Times New Roman" w:cs="Times New Roman"/>
          <w:sz w:val="28"/>
          <w:szCs w:val="28"/>
          <w:lang w:val="az-Cyrl-AZ"/>
        </w:rPr>
        <w:t xml:space="preserve"> от сжигания ископаемого топлива</w:t>
      </w:r>
      <w:r w:rsidRPr="00E54BF1">
        <w:rPr>
          <w:rFonts w:ascii="Times New Roman" w:hAnsi="Times New Roman" w:cs="Times New Roman"/>
          <w:sz w:val="28"/>
          <w:szCs w:val="28"/>
        </w:rPr>
        <w:t xml:space="preserve">. Другой принципиальной составляющей фискальной системы, ориентированной на </w:t>
      </w:r>
      <w:proofErr w:type="spellStart"/>
      <w:r w:rsidRPr="00E54BF1">
        <w:rPr>
          <w:rFonts w:ascii="Times New Roman" w:hAnsi="Times New Roman" w:cs="Times New Roman"/>
          <w:sz w:val="28"/>
          <w:szCs w:val="28"/>
        </w:rPr>
        <w:t>низкоуглеродное</w:t>
      </w:r>
      <w:proofErr w:type="spellEnd"/>
      <w:r w:rsidRPr="00E54BF1">
        <w:rPr>
          <w:rFonts w:ascii="Times New Roman" w:hAnsi="Times New Roman" w:cs="Times New Roman"/>
          <w:sz w:val="28"/>
          <w:szCs w:val="28"/>
        </w:rPr>
        <w:t xml:space="preserve"> развитие экономики России, является учет </w:t>
      </w:r>
      <w:proofErr w:type="spellStart"/>
      <w:r w:rsidRPr="00E54BF1">
        <w:rPr>
          <w:rFonts w:ascii="Times New Roman" w:hAnsi="Times New Roman" w:cs="Times New Roman"/>
          <w:sz w:val="28"/>
          <w:szCs w:val="28"/>
        </w:rPr>
        <w:t>углеродоемкости</w:t>
      </w:r>
      <w:proofErr w:type="spellEnd"/>
      <w:r w:rsidRPr="00E54BF1">
        <w:rPr>
          <w:rFonts w:ascii="Times New Roman" w:hAnsi="Times New Roman" w:cs="Times New Roman"/>
          <w:sz w:val="28"/>
          <w:szCs w:val="28"/>
        </w:rPr>
        <w:t xml:space="preserve"> различных источников ископаемого топлива. </w:t>
      </w:r>
    </w:p>
    <w:p w:rsidR="007D2A98" w:rsidRPr="00E54BF1" w:rsidRDefault="007D2A98" w:rsidP="00E54B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F1">
        <w:rPr>
          <w:rFonts w:ascii="Times New Roman" w:hAnsi="Times New Roman" w:cs="Times New Roman"/>
          <w:sz w:val="28"/>
          <w:szCs w:val="28"/>
        </w:rPr>
        <w:t xml:space="preserve">В условиях, когда введение полноценной цены на углерод и увеличение налогового бремени будет неизбежно вступать в конфликт с иными задачами развития страны и ее отдельных секторов, ключевой задачей политики сокращения выбросов парниковых газов является поддержание «правильных» условий </w:t>
      </w:r>
      <w:proofErr w:type="spellStart"/>
      <w:r w:rsidRPr="00E54BF1">
        <w:rPr>
          <w:rFonts w:ascii="Times New Roman" w:hAnsi="Times New Roman" w:cs="Times New Roman"/>
          <w:sz w:val="28"/>
          <w:szCs w:val="28"/>
        </w:rPr>
        <w:t>межтопливной</w:t>
      </w:r>
      <w:proofErr w:type="spellEnd"/>
      <w:r w:rsidRPr="00E54BF1">
        <w:rPr>
          <w:rFonts w:ascii="Times New Roman" w:hAnsi="Times New Roman" w:cs="Times New Roman"/>
          <w:sz w:val="28"/>
          <w:szCs w:val="28"/>
        </w:rPr>
        <w:t xml:space="preserve"> конкуренции, обеспечивающих наилучшие условия для укрепления позиций наименее </w:t>
      </w:r>
      <w:proofErr w:type="spellStart"/>
      <w:r w:rsidRPr="00E54BF1">
        <w:rPr>
          <w:rFonts w:ascii="Times New Roman" w:hAnsi="Times New Roman" w:cs="Times New Roman"/>
          <w:sz w:val="28"/>
          <w:szCs w:val="28"/>
        </w:rPr>
        <w:t>углеродоемких</w:t>
      </w:r>
      <w:proofErr w:type="spellEnd"/>
      <w:r w:rsidRPr="00E54BF1">
        <w:rPr>
          <w:rFonts w:ascii="Times New Roman" w:hAnsi="Times New Roman" w:cs="Times New Roman"/>
          <w:sz w:val="28"/>
          <w:szCs w:val="28"/>
        </w:rPr>
        <w:t xml:space="preserve"> </w:t>
      </w:r>
      <w:r w:rsidRPr="00E54BF1">
        <w:rPr>
          <w:rFonts w:ascii="Times New Roman" w:hAnsi="Times New Roman" w:cs="Times New Roman"/>
          <w:sz w:val="28"/>
          <w:szCs w:val="28"/>
        </w:rPr>
        <w:lastRenderedPageBreak/>
        <w:t>источников энергии. Для развивающихся стран и стран с переходной экономикой, к которым относится Россия, это означает не столько стремление к введению высокой цены на углерод, сколько к повышению «углеродной сбалансированности»</w:t>
      </w:r>
      <w:r w:rsidRPr="00E54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BF1">
        <w:rPr>
          <w:rFonts w:ascii="Times New Roman" w:hAnsi="Times New Roman" w:cs="Times New Roman"/>
          <w:sz w:val="28"/>
          <w:szCs w:val="28"/>
        </w:rPr>
        <w:t xml:space="preserve">налогообложения в энергоемких отраслях экономики. Термин «углеродная сбалансированность» налогообложения отражает в какой степени облагается налогом углерод, содержащийся в разных типах ископаемого топлива, то есть насколько налогообложение угля, нефти и природного газа пропорционально их </w:t>
      </w:r>
      <w:proofErr w:type="spellStart"/>
      <w:r w:rsidRPr="00E54BF1">
        <w:rPr>
          <w:rFonts w:ascii="Times New Roman" w:hAnsi="Times New Roman" w:cs="Times New Roman"/>
          <w:sz w:val="28"/>
          <w:szCs w:val="28"/>
        </w:rPr>
        <w:t>углеродоемкости</w:t>
      </w:r>
      <w:proofErr w:type="spellEnd"/>
      <w:r w:rsidRPr="00E54B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A98" w:rsidRPr="00E54BF1" w:rsidRDefault="007D2A98" w:rsidP="00E54B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F1">
        <w:rPr>
          <w:rFonts w:ascii="Times New Roman" w:hAnsi="Times New Roman" w:cs="Times New Roman"/>
          <w:sz w:val="28"/>
          <w:szCs w:val="28"/>
        </w:rPr>
        <w:t xml:space="preserve">В ближайшие десятилетия ископаемое топливо продолжит играть ключевую роль в энергообеспечении большей части населения страны. Значительная часть развивающегося мира намерена нарастить потребление угля, нефти и природного газа для решения ключевых вопросов социальной и экономической политики. Именно в тех странах и регионах, где полный отказ от ископаемого топлива в обозримой перспективе невозможен принципиально важно </w:t>
      </w:r>
      <w:proofErr w:type="spellStart"/>
      <w:r w:rsidRPr="00E54BF1">
        <w:rPr>
          <w:rFonts w:ascii="Times New Roman" w:hAnsi="Times New Roman" w:cs="Times New Roman"/>
          <w:sz w:val="28"/>
          <w:szCs w:val="28"/>
        </w:rPr>
        <w:t>концептуализировать</w:t>
      </w:r>
      <w:proofErr w:type="spellEnd"/>
      <w:r w:rsidRPr="00E54BF1">
        <w:rPr>
          <w:rFonts w:ascii="Times New Roman" w:hAnsi="Times New Roman" w:cs="Times New Roman"/>
          <w:sz w:val="28"/>
          <w:szCs w:val="28"/>
        </w:rPr>
        <w:t xml:space="preserve"> подход «углеродной сбалансированности» налогообложения в энергетике. И России – стране, где налогообложение в ТЭК и так крайне высоко, целесообразно возглавить данный процесс. Постепенное движение к «углеродной сбалансированности» налогообложения, с одной стороны, поможет развивающимся экономикам синхронизировать задачи развития и борьбы с изменением климата, а, с другой, создать надежную опору в виде фискальной системы, необходимой для перехода к </w:t>
      </w:r>
      <w:proofErr w:type="spellStart"/>
      <w:r w:rsidRPr="00E54BF1">
        <w:rPr>
          <w:rFonts w:ascii="Times New Roman" w:hAnsi="Times New Roman" w:cs="Times New Roman"/>
          <w:sz w:val="28"/>
          <w:szCs w:val="28"/>
        </w:rPr>
        <w:t>проактивной</w:t>
      </w:r>
      <w:proofErr w:type="spellEnd"/>
      <w:r w:rsidRPr="00E54BF1">
        <w:rPr>
          <w:rFonts w:ascii="Times New Roman" w:hAnsi="Times New Roman" w:cs="Times New Roman"/>
          <w:sz w:val="28"/>
          <w:szCs w:val="28"/>
        </w:rPr>
        <w:t xml:space="preserve"> климатической политики, когда это станет возможно. </w:t>
      </w:r>
    </w:p>
    <w:p w:rsidR="007D2A98" w:rsidRPr="00E54BF1" w:rsidRDefault="007D2A98" w:rsidP="00E54B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F1">
        <w:rPr>
          <w:rFonts w:ascii="Times New Roman" w:hAnsi="Times New Roman" w:cs="Times New Roman"/>
          <w:sz w:val="28"/>
          <w:szCs w:val="28"/>
        </w:rPr>
        <w:t xml:space="preserve">Методологически оценка «углеродной сбалансированности» налогообложения может быть осуществлена посредством  подсчета так называемой </w:t>
      </w:r>
      <w:r w:rsidR="005A3E2E">
        <w:rPr>
          <w:rFonts w:ascii="Times New Roman" w:hAnsi="Times New Roman" w:cs="Times New Roman"/>
          <w:sz w:val="28"/>
          <w:szCs w:val="28"/>
        </w:rPr>
        <w:t>вмененной</w:t>
      </w:r>
      <w:r w:rsidRPr="00E54BF1">
        <w:rPr>
          <w:rFonts w:ascii="Times New Roman" w:hAnsi="Times New Roman" w:cs="Times New Roman"/>
          <w:sz w:val="28"/>
          <w:szCs w:val="28"/>
        </w:rPr>
        <w:t xml:space="preserve"> цены на углерод для разных типов используемого топлива. В</w:t>
      </w:r>
      <w:r w:rsidR="005A3E2E">
        <w:rPr>
          <w:rFonts w:ascii="Times New Roman" w:hAnsi="Times New Roman" w:cs="Times New Roman"/>
          <w:sz w:val="28"/>
          <w:szCs w:val="28"/>
        </w:rPr>
        <w:t>мененная</w:t>
      </w:r>
      <w:r w:rsidRPr="00E54BF1">
        <w:rPr>
          <w:rFonts w:ascii="Times New Roman" w:hAnsi="Times New Roman" w:cs="Times New Roman"/>
          <w:sz w:val="28"/>
          <w:szCs w:val="28"/>
        </w:rPr>
        <w:t xml:space="preserve"> цена на углерод определяется как отношение налоговой выручки конкретного типа ископаемого топлива (угля, нефтепродуктов, природного газа) к совокупному объему выбросов диоксида углерода, сопряженного с процессом сжигания данного топлива. Подсчет </w:t>
      </w:r>
      <w:r w:rsidR="005A3E2E">
        <w:rPr>
          <w:rFonts w:ascii="Times New Roman" w:hAnsi="Times New Roman" w:cs="Times New Roman"/>
          <w:sz w:val="28"/>
          <w:szCs w:val="28"/>
        </w:rPr>
        <w:t>вмененной</w:t>
      </w:r>
      <w:r w:rsidRPr="00E54BF1">
        <w:rPr>
          <w:rFonts w:ascii="Times New Roman" w:hAnsi="Times New Roman" w:cs="Times New Roman"/>
          <w:sz w:val="28"/>
          <w:szCs w:val="28"/>
        </w:rPr>
        <w:t xml:space="preserve"> </w:t>
      </w:r>
      <w:r w:rsidRPr="00E54BF1">
        <w:rPr>
          <w:rFonts w:ascii="Times New Roman" w:hAnsi="Times New Roman" w:cs="Times New Roman"/>
          <w:sz w:val="28"/>
          <w:szCs w:val="28"/>
        </w:rPr>
        <w:lastRenderedPageBreak/>
        <w:t xml:space="preserve">цены на углерод и ее соотнесение с показателем </w:t>
      </w:r>
      <w:proofErr w:type="spellStart"/>
      <w:r w:rsidRPr="00E54BF1">
        <w:rPr>
          <w:rFonts w:ascii="Times New Roman" w:hAnsi="Times New Roman" w:cs="Times New Roman"/>
          <w:sz w:val="28"/>
          <w:szCs w:val="28"/>
        </w:rPr>
        <w:t>углеродоемкости</w:t>
      </w:r>
      <w:proofErr w:type="spellEnd"/>
      <w:r w:rsidRPr="00E54BF1">
        <w:rPr>
          <w:rFonts w:ascii="Times New Roman" w:hAnsi="Times New Roman" w:cs="Times New Roman"/>
          <w:sz w:val="28"/>
          <w:szCs w:val="28"/>
        </w:rPr>
        <w:t xml:space="preserve"> каждого из типов ископаемого топлива даст представление об углеродной сбалансированности системы налогообложения. </w:t>
      </w:r>
    </w:p>
    <w:p w:rsidR="007D2A98" w:rsidRPr="00E54BF1" w:rsidRDefault="007D2A98" w:rsidP="00E54B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F1">
        <w:rPr>
          <w:rFonts w:ascii="Times New Roman" w:hAnsi="Times New Roman" w:cs="Times New Roman"/>
          <w:sz w:val="28"/>
          <w:szCs w:val="28"/>
        </w:rPr>
        <w:t xml:space="preserve">Одним из результатов исследования является вывод о том, что уровень </w:t>
      </w:r>
      <w:r w:rsidR="005A3E2E">
        <w:rPr>
          <w:rFonts w:ascii="Times New Roman" w:hAnsi="Times New Roman" w:cs="Times New Roman"/>
          <w:sz w:val="28"/>
          <w:szCs w:val="28"/>
        </w:rPr>
        <w:t>вмененной</w:t>
      </w:r>
      <w:r w:rsidRPr="00E54BF1">
        <w:rPr>
          <w:rFonts w:ascii="Times New Roman" w:hAnsi="Times New Roman" w:cs="Times New Roman"/>
          <w:sz w:val="28"/>
          <w:szCs w:val="28"/>
        </w:rPr>
        <w:t xml:space="preserve"> цены на углерод, посчитанный на основе НДПИ, в России и так значительно высок и находится на уровне, не уступающем западным странам – более 8 тыс. рублей за тонну СО</w:t>
      </w:r>
      <w:proofErr w:type="gramStart"/>
      <w:r w:rsidRPr="00E54B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E54BF1">
        <w:rPr>
          <w:rFonts w:ascii="Times New Roman" w:hAnsi="Times New Roman" w:cs="Times New Roman"/>
          <w:sz w:val="28"/>
          <w:szCs w:val="28"/>
        </w:rPr>
        <w:t xml:space="preserve"> (более 100 евро за тонну СО</w:t>
      </w:r>
      <w:r w:rsidRPr="00E54B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A3E2E" w:rsidRPr="005A3E2E">
        <w:rPr>
          <w:rFonts w:ascii="Times New Roman" w:hAnsi="Times New Roman" w:cs="Times New Roman"/>
          <w:sz w:val="28"/>
          <w:szCs w:val="28"/>
        </w:rPr>
        <w:t xml:space="preserve"> (</w:t>
      </w:r>
      <w:r w:rsidR="005A3E2E">
        <w:rPr>
          <w:rFonts w:ascii="Times New Roman" w:hAnsi="Times New Roman" w:cs="Times New Roman"/>
          <w:sz w:val="28"/>
          <w:szCs w:val="28"/>
        </w:rPr>
        <w:t>Степанов, 20</w:t>
      </w:r>
      <w:r w:rsidR="0082053C" w:rsidRPr="0082053C">
        <w:rPr>
          <w:rFonts w:ascii="Times New Roman" w:hAnsi="Times New Roman" w:cs="Times New Roman"/>
          <w:sz w:val="28"/>
          <w:szCs w:val="28"/>
        </w:rPr>
        <w:t>19</w:t>
      </w:r>
      <w:r w:rsidR="005A3E2E">
        <w:rPr>
          <w:rFonts w:ascii="Times New Roman" w:hAnsi="Times New Roman" w:cs="Times New Roman"/>
          <w:sz w:val="28"/>
          <w:szCs w:val="28"/>
        </w:rPr>
        <w:t>)</w:t>
      </w:r>
      <w:r w:rsidRPr="00E54BF1">
        <w:rPr>
          <w:rFonts w:ascii="Times New Roman" w:hAnsi="Times New Roman" w:cs="Times New Roman"/>
          <w:sz w:val="28"/>
          <w:szCs w:val="28"/>
        </w:rPr>
        <w:t>. Причем динамика роста налоговой нагрузки в России положительная (</w:t>
      </w:r>
      <w:r w:rsidR="00FF1CC1">
        <w:rPr>
          <w:rFonts w:ascii="Times New Roman" w:hAnsi="Times New Roman" w:cs="Times New Roman"/>
          <w:sz w:val="28"/>
          <w:szCs w:val="28"/>
        </w:rPr>
        <w:t>Приложение 1</w:t>
      </w:r>
      <w:r w:rsidRPr="00E54BF1">
        <w:rPr>
          <w:rFonts w:ascii="Times New Roman" w:hAnsi="Times New Roman" w:cs="Times New Roman"/>
          <w:sz w:val="28"/>
          <w:szCs w:val="28"/>
        </w:rPr>
        <w:t xml:space="preserve">). В этой связи принципиальной задачей является «перенастройка» </w:t>
      </w:r>
      <w:proofErr w:type="gramStart"/>
      <w:r w:rsidRPr="00E54BF1">
        <w:rPr>
          <w:rFonts w:ascii="Times New Roman" w:hAnsi="Times New Roman" w:cs="Times New Roman"/>
          <w:sz w:val="28"/>
          <w:szCs w:val="28"/>
        </w:rPr>
        <w:t>данного налогового механизма в строну его большего воздействия на уровень выбросов – большей «углеродной сбалансированности».</w:t>
      </w:r>
      <w:proofErr w:type="gramEnd"/>
    </w:p>
    <w:p w:rsidR="007D2A98" w:rsidRPr="00E54BF1" w:rsidRDefault="007D2A98" w:rsidP="000F3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BF1">
        <w:rPr>
          <w:rFonts w:ascii="Times New Roman" w:hAnsi="Times New Roman" w:cs="Times New Roman"/>
          <w:sz w:val="28"/>
          <w:szCs w:val="28"/>
        </w:rPr>
        <w:t xml:space="preserve">Другим результатом стал тезис о том, что налоговая нагрузка на уголь в России существенно меньше налоговой нагрузки на природный газ из расчета на тонну выбросов, что подрывает долгосрочные конкурентные преимущества последнего как менее </w:t>
      </w:r>
      <w:proofErr w:type="spellStart"/>
      <w:r w:rsidRPr="00E54BF1">
        <w:rPr>
          <w:rFonts w:ascii="Times New Roman" w:hAnsi="Times New Roman" w:cs="Times New Roman"/>
          <w:sz w:val="28"/>
          <w:szCs w:val="28"/>
        </w:rPr>
        <w:t>углеродоемкого</w:t>
      </w:r>
      <w:proofErr w:type="spellEnd"/>
      <w:r w:rsidRPr="00E54BF1">
        <w:rPr>
          <w:rFonts w:ascii="Times New Roman" w:hAnsi="Times New Roman" w:cs="Times New Roman"/>
          <w:sz w:val="28"/>
          <w:szCs w:val="28"/>
        </w:rPr>
        <w:t xml:space="preserve"> источника энергии, относительное увеличение использования (производства, потребления и экспорта) которого могло бы способствовать переходу российской экономики в сторону </w:t>
      </w:r>
      <w:proofErr w:type="spellStart"/>
      <w:r w:rsidRPr="00E54BF1">
        <w:rPr>
          <w:rFonts w:ascii="Times New Roman" w:hAnsi="Times New Roman" w:cs="Times New Roman"/>
          <w:sz w:val="28"/>
          <w:szCs w:val="28"/>
        </w:rPr>
        <w:t>низкоуглеродного</w:t>
      </w:r>
      <w:proofErr w:type="spellEnd"/>
      <w:r w:rsidRPr="00E54BF1">
        <w:rPr>
          <w:rFonts w:ascii="Times New Roman" w:hAnsi="Times New Roman" w:cs="Times New Roman"/>
          <w:sz w:val="28"/>
          <w:szCs w:val="28"/>
        </w:rPr>
        <w:t xml:space="preserve"> развития.</w:t>
      </w:r>
      <w:proofErr w:type="gramEnd"/>
      <w:r w:rsidRPr="00E54BF1">
        <w:rPr>
          <w:rFonts w:ascii="Times New Roman" w:hAnsi="Times New Roman" w:cs="Times New Roman"/>
          <w:sz w:val="28"/>
          <w:szCs w:val="28"/>
        </w:rPr>
        <w:t xml:space="preserve"> Подсчет в</w:t>
      </w:r>
      <w:r w:rsidR="005A3E2E">
        <w:rPr>
          <w:rFonts w:ascii="Times New Roman" w:hAnsi="Times New Roman" w:cs="Times New Roman"/>
          <w:sz w:val="28"/>
          <w:szCs w:val="28"/>
        </w:rPr>
        <w:t>мененной</w:t>
      </w:r>
      <w:r w:rsidRPr="00E54BF1">
        <w:rPr>
          <w:rFonts w:ascii="Times New Roman" w:hAnsi="Times New Roman" w:cs="Times New Roman"/>
          <w:sz w:val="28"/>
          <w:szCs w:val="28"/>
        </w:rPr>
        <w:t xml:space="preserve"> цены на углерод для природного газа и угля на основе данных </w:t>
      </w:r>
      <w:proofErr w:type="gramStart"/>
      <w:r w:rsidRPr="00E54BF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4BF1">
        <w:rPr>
          <w:rFonts w:ascii="Times New Roman" w:hAnsi="Times New Roman" w:cs="Times New Roman"/>
          <w:sz w:val="28"/>
          <w:szCs w:val="28"/>
        </w:rPr>
        <w:t xml:space="preserve"> налоговых поступлений от НДПИ в 2016 г. представлен </w:t>
      </w:r>
      <w:r w:rsidR="00FF1CC1">
        <w:rPr>
          <w:rFonts w:ascii="Times New Roman" w:hAnsi="Times New Roman" w:cs="Times New Roman"/>
          <w:sz w:val="28"/>
          <w:szCs w:val="28"/>
        </w:rPr>
        <w:t>в Приложении 2</w:t>
      </w:r>
      <w:r w:rsidRPr="00E54BF1">
        <w:rPr>
          <w:rFonts w:ascii="Times New Roman" w:hAnsi="Times New Roman" w:cs="Times New Roman"/>
          <w:sz w:val="28"/>
          <w:szCs w:val="28"/>
        </w:rPr>
        <w:t xml:space="preserve">. </w:t>
      </w:r>
      <w:r w:rsidR="00807A85">
        <w:rPr>
          <w:rFonts w:ascii="Times New Roman" w:hAnsi="Times New Roman" w:cs="Times New Roman"/>
          <w:sz w:val="28"/>
          <w:szCs w:val="28"/>
        </w:rPr>
        <w:t>Вмененная</w:t>
      </w:r>
      <w:r w:rsidRPr="00E54BF1">
        <w:rPr>
          <w:rFonts w:ascii="Times New Roman" w:hAnsi="Times New Roman" w:cs="Times New Roman"/>
          <w:sz w:val="28"/>
          <w:szCs w:val="28"/>
        </w:rPr>
        <w:t xml:space="preserve"> цена на углерод, посчитанная по НДПИ от природного газа, примерно в 50 раз больше, чем аналогичный показатель для угля и более чем в 600 раз для нефти. </w:t>
      </w:r>
    </w:p>
    <w:p w:rsidR="007D2A98" w:rsidRPr="00E54BF1" w:rsidRDefault="007D2A98" w:rsidP="000F3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BF1">
        <w:rPr>
          <w:rFonts w:ascii="Times New Roman" w:hAnsi="Times New Roman" w:cs="Times New Roman"/>
          <w:sz w:val="28"/>
          <w:szCs w:val="28"/>
        </w:rPr>
        <w:t xml:space="preserve">Вместе с тем, несмотря на то, что установление цены на углерод (в виде налога на углерод или </w:t>
      </w:r>
      <w:r w:rsidR="000F3604">
        <w:rPr>
          <w:rFonts w:ascii="Times New Roman" w:hAnsi="Times New Roman" w:cs="Times New Roman"/>
          <w:sz w:val="28"/>
          <w:szCs w:val="28"/>
        </w:rPr>
        <w:t>СТВ</w:t>
      </w:r>
      <w:r w:rsidRPr="00E54BF1">
        <w:rPr>
          <w:rFonts w:ascii="Times New Roman" w:hAnsi="Times New Roman" w:cs="Times New Roman"/>
          <w:sz w:val="28"/>
          <w:szCs w:val="28"/>
        </w:rPr>
        <w:t xml:space="preserve">) могло бы способствовать повышению конкурентоспособности природного газа и повышению «углеродной сбалансированности» налогообложения российского ТЭК, оно неизбежно будет вести к общему повышению уровня цен и резкому ухудшению </w:t>
      </w:r>
      <w:r w:rsidRPr="00E54BF1">
        <w:rPr>
          <w:rFonts w:ascii="Times New Roman" w:hAnsi="Times New Roman" w:cs="Times New Roman"/>
          <w:sz w:val="28"/>
          <w:szCs w:val="28"/>
        </w:rPr>
        <w:lastRenderedPageBreak/>
        <w:t>положению отдельных участников ТЭК, в первую очередь представителей угольной отрасли, несущей важную социально-экономическую функцию.</w:t>
      </w:r>
      <w:proofErr w:type="gramEnd"/>
    </w:p>
    <w:p w:rsidR="007D2A98" w:rsidRPr="00E54BF1" w:rsidRDefault="007D2A98" w:rsidP="00E54B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604">
        <w:rPr>
          <w:rFonts w:ascii="Times New Roman" w:hAnsi="Times New Roman" w:cs="Times New Roman"/>
          <w:sz w:val="28"/>
          <w:szCs w:val="28"/>
        </w:rPr>
        <w:t xml:space="preserve">Основным предложением, вытекающим из результатов исследования, является перенос части налоговой нагрузки с НДПИ угля и природного газа на уровень потребления энергоресурсов промышленными предприятиями пропорционально их </w:t>
      </w:r>
      <w:proofErr w:type="spellStart"/>
      <w:r w:rsidRPr="000F3604">
        <w:rPr>
          <w:rFonts w:ascii="Times New Roman" w:hAnsi="Times New Roman" w:cs="Times New Roman"/>
          <w:sz w:val="28"/>
          <w:szCs w:val="28"/>
        </w:rPr>
        <w:t>углеродоемкости</w:t>
      </w:r>
      <w:proofErr w:type="spellEnd"/>
      <w:r w:rsidRPr="000F3604">
        <w:rPr>
          <w:rFonts w:ascii="Times New Roman" w:hAnsi="Times New Roman" w:cs="Times New Roman"/>
          <w:sz w:val="28"/>
          <w:szCs w:val="28"/>
        </w:rPr>
        <w:t>.</w:t>
      </w:r>
      <w:r w:rsidRPr="00E54BF1">
        <w:rPr>
          <w:rFonts w:ascii="Times New Roman" w:hAnsi="Times New Roman" w:cs="Times New Roman"/>
          <w:sz w:val="28"/>
          <w:szCs w:val="28"/>
        </w:rPr>
        <w:t xml:space="preserve"> Схематично предлагаемое изменение для природного газа и угля в системе </w:t>
      </w:r>
      <w:r w:rsidR="00FF1CC1">
        <w:rPr>
          <w:rFonts w:ascii="Times New Roman" w:hAnsi="Times New Roman" w:cs="Times New Roman"/>
          <w:sz w:val="28"/>
          <w:szCs w:val="28"/>
        </w:rPr>
        <w:t>налогообложения представлено в Приложении 3</w:t>
      </w:r>
      <w:r w:rsidRPr="00E54B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A98" w:rsidRPr="00E54BF1" w:rsidRDefault="007D2A98" w:rsidP="00E54B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F1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E54BF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E54BF1">
        <w:rPr>
          <w:rFonts w:ascii="Times New Roman" w:hAnsi="Times New Roman" w:cs="Times New Roman"/>
          <w:sz w:val="28"/>
          <w:szCs w:val="28"/>
        </w:rPr>
        <w:t xml:space="preserve"> модификация системы налогообложения позволит решить сразу несколько задач. Перераспределение налоговой нагрузки с уровня производства на уровень потребления:</w:t>
      </w:r>
    </w:p>
    <w:p w:rsidR="007D2A98" w:rsidRPr="00E54BF1" w:rsidRDefault="007D2A98" w:rsidP="000F3604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BF1">
        <w:rPr>
          <w:rFonts w:ascii="Times New Roman" w:hAnsi="Times New Roman" w:cs="Times New Roman"/>
          <w:sz w:val="28"/>
          <w:szCs w:val="28"/>
        </w:rPr>
        <w:t>создает больше стимулов сокращения объемов потребления энергии, повышения энергоэффективности и, как следствие, сокращения выбросов парниковых газов;</w:t>
      </w:r>
    </w:p>
    <w:p w:rsidR="007D2A98" w:rsidRPr="00E54BF1" w:rsidRDefault="007D2A98" w:rsidP="000F3604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BF1">
        <w:rPr>
          <w:rFonts w:ascii="Times New Roman" w:hAnsi="Times New Roman" w:cs="Times New Roman"/>
          <w:sz w:val="28"/>
          <w:szCs w:val="28"/>
        </w:rPr>
        <w:t xml:space="preserve">происходит пропорционально </w:t>
      </w:r>
      <w:proofErr w:type="spellStart"/>
      <w:r w:rsidRPr="00E54BF1">
        <w:rPr>
          <w:rFonts w:ascii="Times New Roman" w:hAnsi="Times New Roman" w:cs="Times New Roman"/>
          <w:sz w:val="28"/>
          <w:szCs w:val="28"/>
        </w:rPr>
        <w:t>углеродоемкости</w:t>
      </w:r>
      <w:proofErr w:type="spellEnd"/>
      <w:r w:rsidRPr="00E54BF1">
        <w:rPr>
          <w:rFonts w:ascii="Times New Roman" w:hAnsi="Times New Roman" w:cs="Times New Roman"/>
          <w:sz w:val="28"/>
          <w:szCs w:val="28"/>
        </w:rPr>
        <w:t xml:space="preserve"> источников энергии, что в большей степени способствует сокращению потребления угля, чем природного газа, создавая лучшие условия </w:t>
      </w:r>
      <w:proofErr w:type="spellStart"/>
      <w:r w:rsidRPr="00E54BF1">
        <w:rPr>
          <w:rFonts w:ascii="Times New Roman" w:hAnsi="Times New Roman" w:cs="Times New Roman"/>
          <w:sz w:val="28"/>
          <w:szCs w:val="28"/>
        </w:rPr>
        <w:t>межтопливной</w:t>
      </w:r>
      <w:proofErr w:type="spellEnd"/>
      <w:r w:rsidRPr="00E54BF1">
        <w:rPr>
          <w:rFonts w:ascii="Times New Roman" w:hAnsi="Times New Roman" w:cs="Times New Roman"/>
          <w:sz w:val="28"/>
          <w:szCs w:val="28"/>
        </w:rPr>
        <w:t xml:space="preserve"> конкуренции и повышая «углеродную сбалансированность» налогообложения в российском ТЭК;</w:t>
      </w:r>
      <w:proofErr w:type="gramEnd"/>
    </w:p>
    <w:p w:rsidR="007D2A98" w:rsidRPr="00E54BF1" w:rsidRDefault="007D2A98" w:rsidP="000F3604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BF1">
        <w:rPr>
          <w:rFonts w:ascii="Times New Roman" w:hAnsi="Times New Roman" w:cs="Times New Roman"/>
          <w:sz w:val="28"/>
          <w:szCs w:val="28"/>
        </w:rPr>
        <w:t xml:space="preserve">лишь косвенно сказывается на отрасли добычи угля в России, не создавая прямых налоговых барьеров для угольщиков. Перенос части налогового бремени с угольщиков на российских потребителей угля лишь ограничено сократит спрос </w:t>
      </w:r>
      <w:proofErr w:type="gramStart"/>
      <w:r w:rsidRPr="00E54BF1">
        <w:rPr>
          <w:rFonts w:ascii="Times New Roman" w:hAnsi="Times New Roman" w:cs="Times New Roman"/>
          <w:sz w:val="28"/>
          <w:szCs w:val="28"/>
        </w:rPr>
        <w:t>на отечественный уголь ввиду инфраструктурных ограничений для большинства отечественных промышленных потребителей энергоресурсов по переключению с угля</w:t>
      </w:r>
      <w:proofErr w:type="gramEnd"/>
      <w:r w:rsidRPr="00E54BF1">
        <w:rPr>
          <w:rFonts w:ascii="Times New Roman" w:hAnsi="Times New Roman" w:cs="Times New Roman"/>
          <w:sz w:val="28"/>
          <w:szCs w:val="28"/>
        </w:rPr>
        <w:t xml:space="preserve"> на природный газ в краткосрочном периоде. В долгосрочном периоде это переключение более реалистично. При данной системе налогообложения потребители энергии приобретут долгосрочные стимулы замещения угля природным газом, а особенно </w:t>
      </w:r>
      <w:r w:rsidRPr="00E54BF1">
        <w:rPr>
          <w:rFonts w:ascii="Times New Roman" w:hAnsi="Times New Roman" w:cs="Times New Roman"/>
          <w:sz w:val="28"/>
          <w:szCs w:val="28"/>
        </w:rPr>
        <w:lastRenderedPageBreak/>
        <w:t xml:space="preserve">уязвимые компании получат необходимый запас времени на минимизацию ущерба.  </w:t>
      </w:r>
    </w:p>
    <w:p w:rsidR="007D2A98" w:rsidRPr="00E54BF1" w:rsidRDefault="007D2A98" w:rsidP="000F3604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BF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54BF1">
        <w:rPr>
          <w:rFonts w:ascii="Times New Roman" w:hAnsi="Times New Roman" w:cs="Times New Roman"/>
          <w:sz w:val="28"/>
          <w:szCs w:val="28"/>
        </w:rPr>
        <w:t>е сказывается на объеме совокупных налоговых поступлений в государственный бюджет.</w:t>
      </w:r>
    </w:p>
    <w:p w:rsidR="00810311" w:rsidRPr="009A6BD4" w:rsidRDefault="00810311" w:rsidP="000663D8">
      <w:pPr>
        <w:pStyle w:val="a4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</w:p>
    <w:p w:rsidR="000663D8" w:rsidRPr="00FF1CC1" w:rsidRDefault="000663D8" w:rsidP="009A423E">
      <w:pPr>
        <w:pStyle w:val="1"/>
        <w:rPr>
          <w:rStyle w:val="12"/>
          <w:b/>
          <w:shd w:val="clear" w:color="auto" w:fill="auto"/>
        </w:rPr>
      </w:pPr>
      <w:r w:rsidRPr="00FF1CC1">
        <w:rPr>
          <w:rStyle w:val="12"/>
          <w:b/>
          <w:shd w:val="clear" w:color="auto" w:fill="auto"/>
        </w:rPr>
        <w:lastRenderedPageBreak/>
        <w:t>Апробация результатов исследования (к</w:t>
      </w:r>
      <w:r w:rsidR="00FF1CC1" w:rsidRPr="00FF1CC1">
        <w:rPr>
          <w:rStyle w:val="12"/>
          <w:b/>
          <w:shd w:val="clear" w:color="auto" w:fill="auto"/>
        </w:rPr>
        <w:t>онференции, научные публикации)</w:t>
      </w:r>
    </w:p>
    <w:p w:rsidR="00466AC6" w:rsidRDefault="00466AC6" w:rsidP="00466AC6">
      <w:pPr>
        <w:pStyle w:val="a4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  <w:r w:rsidRPr="00466AC6">
        <w:rPr>
          <w:rStyle w:val="12"/>
          <w:b w:val="0"/>
          <w:color w:val="000000"/>
          <w:szCs w:val="28"/>
          <w:lang w:eastAsia="ru-RU"/>
        </w:rPr>
        <w:t>Результаты исследования изложены в ряде академических работ, в том числе</w:t>
      </w:r>
      <w:r>
        <w:rPr>
          <w:rStyle w:val="12"/>
          <w:b w:val="0"/>
          <w:color w:val="000000"/>
          <w:szCs w:val="28"/>
          <w:lang w:eastAsia="ru-RU"/>
        </w:rPr>
        <w:t>:</w:t>
      </w:r>
    </w:p>
    <w:p w:rsidR="00466AC6" w:rsidRPr="00807A85" w:rsidRDefault="00466AC6" w:rsidP="00807A85">
      <w:pPr>
        <w:pStyle w:val="a3"/>
        <w:numPr>
          <w:ilvl w:val="0"/>
          <w:numId w:val="5"/>
        </w:numPr>
        <w:shd w:val="clear" w:color="auto" w:fill="FFFFFF"/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7A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Stepanov</w:t>
      </w:r>
      <w:proofErr w:type="spellEnd"/>
      <w:r w:rsidRPr="00807A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I. A., Albrecht J. </w:t>
      </w:r>
      <w:proofErr w:type="spellStart"/>
      <w:r w:rsidR="009A423E" w:rsidRPr="00807A85">
        <w:fldChar w:fldCharType="begin"/>
      </w:r>
      <w:r w:rsidR="009A423E" w:rsidRPr="00807A85">
        <w:rPr>
          <w:lang w:val="en-US"/>
        </w:rPr>
        <w:instrText xml:space="preserve"> HYPERLINK "https://publications.hse.ru/view/243611774" \t "_blank" </w:instrText>
      </w:r>
      <w:r w:rsidR="009A423E" w:rsidRPr="00807A85">
        <w:fldChar w:fldCharType="separate"/>
      </w:r>
      <w:r w:rsidRPr="00807A8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Decarbonization</w:t>
      </w:r>
      <w:proofErr w:type="spellEnd"/>
      <w:r w:rsidRPr="00807A8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and Energy Policy Instruments in the EU: Does Carbon Pricing Prevail?</w:t>
      </w:r>
      <w:r w:rsidR="009A423E" w:rsidRPr="00807A8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fldChar w:fldCharType="end"/>
      </w:r>
      <w:r w:rsidRPr="00807A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NRU </w:t>
      </w:r>
      <w:proofErr w:type="spellStart"/>
      <w:r w:rsidRPr="00807A85">
        <w:rPr>
          <w:rFonts w:ascii="Times New Roman" w:eastAsia="Times New Roman" w:hAnsi="Times New Roman" w:cs="Times New Roman"/>
          <w:sz w:val="28"/>
          <w:szCs w:val="28"/>
          <w:lang w:eastAsia="ru-RU"/>
        </w:rPr>
        <w:t>Higher</w:t>
      </w:r>
      <w:proofErr w:type="spellEnd"/>
      <w:r w:rsidRPr="008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7A85">
        <w:rPr>
          <w:rFonts w:ascii="Times New Roman" w:eastAsia="Times New Roman" w:hAnsi="Times New Roman" w:cs="Times New Roman"/>
          <w:sz w:val="28"/>
          <w:szCs w:val="28"/>
          <w:lang w:eastAsia="ru-RU"/>
        </w:rPr>
        <w:t>School</w:t>
      </w:r>
      <w:proofErr w:type="spellEnd"/>
      <w:r w:rsidRPr="008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7A85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8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7A85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Economics</w:t>
      </w:r>
      <w:proofErr w:type="spellEnd"/>
      <w:r w:rsidRPr="008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07A85">
        <w:rPr>
          <w:rFonts w:ascii="Times New Roman" w:eastAsia="Times New Roman" w:hAnsi="Times New Roman" w:cs="Times New Roman"/>
          <w:sz w:val="28"/>
          <w:szCs w:val="28"/>
          <w:lang w:eastAsia="ru-RU"/>
        </w:rPr>
        <w:t>Series</w:t>
      </w:r>
      <w:proofErr w:type="spellEnd"/>
      <w:r w:rsidRPr="008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EC "</w:t>
      </w:r>
      <w:proofErr w:type="spellStart"/>
      <w:r w:rsidRPr="00807A85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Economics</w:t>
      </w:r>
      <w:proofErr w:type="spellEnd"/>
      <w:r w:rsidRPr="008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2019. </w:t>
      </w:r>
      <w:proofErr w:type="spellStart"/>
      <w:r w:rsidRPr="00807A85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807A85">
        <w:rPr>
          <w:rFonts w:ascii="Times New Roman" w:eastAsia="Times New Roman" w:hAnsi="Times New Roman" w:cs="Times New Roman"/>
          <w:sz w:val="28"/>
          <w:szCs w:val="28"/>
          <w:lang w:eastAsia="ru-RU"/>
        </w:rPr>
        <w:t>. 211.</w:t>
      </w:r>
    </w:p>
    <w:p w:rsidR="00466AC6" w:rsidRPr="00807A85" w:rsidRDefault="00466AC6" w:rsidP="00807A85">
      <w:pPr>
        <w:pStyle w:val="a3"/>
        <w:numPr>
          <w:ilvl w:val="0"/>
          <w:numId w:val="5"/>
        </w:numPr>
        <w:shd w:val="clear" w:color="auto" w:fill="FFFFFF"/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И. А. </w:t>
      </w:r>
      <w:hyperlink r:id="rId10" w:tgtFrame="_blank" w:history="1">
        <w:r w:rsidRPr="00807A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Налоги в энергетике и их роль в сокращении выбросов парниковых газов</w:t>
        </w:r>
      </w:hyperlink>
      <w:r w:rsidRPr="00807A85">
        <w:rPr>
          <w:rFonts w:ascii="Times New Roman" w:eastAsia="Times New Roman" w:hAnsi="Times New Roman" w:cs="Times New Roman"/>
          <w:sz w:val="28"/>
          <w:szCs w:val="28"/>
          <w:lang w:eastAsia="ru-RU"/>
        </w:rPr>
        <w:t> // Экономический журнал Высшей школы экономики. 2019. № 2. С. 290-313</w:t>
      </w:r>
    </w:p>
    <w:p w:rsidR="00466AC6" w:rsidRPr="00807A85" w:rsidRDefault="009A423E" w:rsidP="00807A85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11" w:tgtFrame="_blank" w:history="1">
        <w:r w:rsidR="00466AC6" w:rsidRPr="00807A8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Макаров И. А.</w:t>
        </w:r>
      </w:hyperlink>
      <w:r w:rsidR="00466AC6" w:rsidRPr="00807A85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="00466AC6" w:rsidRPr="00807A85">
        <w:rPr>
          <w:rStyle w:val="nowrap"/>
          <w:rFonts w:ascii="Times New Roman" w:hAnsi="Times New Roman"/>
          <w:sz w:val="28"/>
          <w:szCs w:val="28"/>
          <w:shd w:val="clear" w:color="auto" w:fill="FFFFFF"/>
        </w:rPr>
        <w:t>Степанов И. А.</w:t>
      </w:r>
      <w:r w:rsidR="00466AC6" w:rsidRPr="00807A85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2" w:tgtFrame="_blank" w:history="1">
        <w:r w:rsidR="00466AC6" w:rsidRPr="00807A8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Парижское климатическое соглашение: влияние на мировую энергетику и вызовы для России</w:t>
        </w:r>
      </w:hyperlink>
      <w:r w:rsidR="00466AC6" w:rsidRPr="00807A85">
        <w:rPr>
          <w:rFonts w:ascii="Times New Roman" w:hAnsi="Times New Roman"/>
          <w:sz w:val="28"/>
          <w:szCs w:val="28"/>
          <w:shd w:val="clear" w:color="auto" w:fill="FFFFFF"/>
        </w:rPr>
        <w:t> // Актуальные проблемы Европы. 2018. № 1. С. 77-100.</w:t>
      </w:r>
    </w:p>
    <w:p w:rsidR="00466AC6" w:rsidRPr="00807A85" w:rsidRDefault="009A423E" w:rsidP="00807A85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13" w:tgtFrame="_blank" w:history="1">
        <w:r w:rsidR="00466AC6" w:rsidRPr="00807A8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Макаров И. А.</w:t>
        </w:r>
      </w:hyperlink>
      <w:r w:rsidR="00466AC6" w:rsidRPr="00807A85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="00466AC6" w:rsidRPr="00807A85">
        <w:rPr>
          <w:rStyle w:val="nowrap"/>
          <w:rFonts w:ascii="Times New Roman" w:hAnsi="Times New Roman"/>
          <w:sz w:val="28"/>
          <w:szCs w:val="28"/>
          <w:shd w:val="clear" w:color="auto" w:fill="FFFFFF"/>
        </w:rPr>
        <w:t>Степанов И. А.</w:t>
      </w:r>
      <w:r w:rsidR="00466AC6" w:rsidRPr="00807A85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4" w:tgtFrame="_blank" w:history="1">
        <w:r w:rsidR="00466AC6" w:rsidRPr="00807A8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Углеродное регулирование: варианты и вызовы для России</w:t>
        </w:r>
      </w:hyperlink>
      <w:r w:rsidR="00466AC6" w:rsidRPr="00807A85">
        <w:rPr>
          <w:rFonts w:ascii="Times New Roman" w:hAnsi="Times New Roman"/>
          <w:sz w:val="28"/>
          <w:szCs w:val="28"/>
          <w:shd w:val="clear" w:color="auto" w:fill="FFFFFF"/>
        </w:rPr>
        <w:t> // Вестник Московского университета. Серия 6: Экономика. 2017. № 6. С. 3-22.</w:t>
      </w:r>
    </w:p>
    <w:p w:rsidR="00466AC6" w:rsidRPr="00807A85" w:rsidRDefault="00466AC6" w:rsidP="00807A85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7A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Chelsea L. C., </w:t>
      </w:r>
      <w:proofErr w:type="spellStart"/>
      <w:r w:rsidRPr="00807A85">
        <w:rPr>
          <w:rStyle w:val="nowrap"/>
          <w:rFonts w:ascii="Times New Roman" w:hAnsi="Times New Roman"/>
          <w:sz w:val="28"/>
          <w:szCs w:val="28"/>
          <w:shd w:val="clear" w:color="auto" w:fill="FFFFFF"/>
          <w:lang w:val="en-US"/>
        </w:rPr>
        <w:t>Stepanov</w:t>
      </w:r>
      <w:proofErr w:type="spellEnd"/>
      <w:r w:rsidRPr="00807A85">
        <w:rPr>
          <w:rStyle w:val="nowrap"/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I. A.</w:t>
      </w:r>
      <w:r w:rsidRPr="00807A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07A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Vlasov</w:t>
      </w:r>
      <w:proofErr w:type="spellEnd"/>
      <w:r w:rsidRPr="00807A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K., Ward E. M. </w:t>
      </w:r>
      <w:hyperlink r:id="rId15" w:tgtFrame="_blank" w:history="1">
        <w:r w:rsidRPr="00807A8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Permafrost Degradation and Coastal Erosion in the US and Russia: Opportunities for Collaboration in Addressing Shared Climate Change Impacts</w:t>
        </w:r>
      </w:hyperlink>
      <w:r w:rsidRPr="00807A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, in: </w:t>
      </w:r>
      <w:r w:rsidRPr="00807A85">
        <w:rPr>
          <w:rFonts w:ascii="Times New Roman" w:hAnsi="Times New Roman"/>
          <w:iCs/>
          <w:sz w:val="28"/>
          <w:szCs w:val="28"/>
          <w:shd w:val="clear" w:color="auto" w:fill="FFFFFF"/>
          <w:lang w:val="en-US"/>
        </w:rPr>
        <w:t>The Stanford US-Russia Forum Research Journal</w:t>
      </w:r>
      <w:r w:rsidRPr="00807A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 Vol. 9. </w:t>
      </w:r>
      <w:proofErr w:type="spellStart"/>
      <w:r w:rsidRPr="00807A85">
        <w:rPr>
          <w:rFonts w:ascii="Times New Roman" w:hAnsi="Times New Roman"/>
          <w:sz w:val="28"/>
          <w:szCs w:val="28"/>
          <w:shd w:val="clear" w:color="auto" w:fill="FFFFFF"/>
        </w:rPr>
        <w:t>Stanford</w:t>
      </w:r>
      <w:proofErr w:type="spellEnd"/>
      <w:r w:rsidRPr="00807A85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807A85">
        <w:rPr>
          <w:rFonts w:ascii="Times New Roman" w:hAnsi="Times New Roman"/>
          <w:sz w:val="28"/>
          <w:szCs w:val="28"/>
          <w:shd w:val="clear" w:color="auto" w:fill="FFFFFF"/>
        </w:rPr>
        <w:t>Stanford</w:t>
      </w:r>
      <w:proofErr w:type="spellEnd"/>
      <w:r w:rsidRPr="00807A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7A85">
        <w:rPr>
          <w:rFonts w:ascii="Times New Roman" w:hAnsi="Times New Roman"/>
          <w:sz w:val="28"/>
          <w:szCs w:val="28"/>
          <w:shd w:val="clear" w:color="auto" w:fill="FFFFFF"/>
        </w:rPr>
        <w:t>University</w:t>
      </w:r>
      <w:proofErr w:type="spellEnd"/>
      <w:r w:rsidRPr="00807A85">
        <w:rPr>
          <w:rFonts w:ascii="Times New Roman" w:hAnsi="Times New Roman"/>
          <w:sz w:val="28"/>
          <w:szCs w:val="28"/>
          <w:shd w:val="clear" w:color="auto" w:fill="FFFFFF"/>
        </w:rPr>
        <w:t xml:space="preserve">, 2018. </w:t>
      </w:r>
      <w:proofErr w:type="spellStart"/>
      <w:r w:rsidRPr="00807A85">
        <w:rPr>
          <w:rFonts w:ascii="Times New Roman" w:hAnsi="Times New Roman"/>
          <w:sz w:val="28"/>
          <w:szCs w:val="28"/>
          <w:shd w:val="clear" w:color="auto" w:fill="FFFFFF"/>
        </w:rPr>
        <w:t>Ch</w:t>
      </w:r>
      <w:proofErr w:type="spellEnd"/>
      <w:r w:rsidRPr="00807A85">
        <w:rPr>
          <w:rFonts w:ascii="Times New Roman" w:hAnsi="Times New Roman"/>
          <w:sz w:val="28"/>
          <w:szCs w:val="28"/>
          <w:shd w:val="clear" w:color="auto" w:fill="FFFFFF"/>
        </w:rPr>
        <w:t>. 7. P. 57-63.</w:t>
      </w:r>
    </w:p>
    <w:p w:rsidR="00466AC6" w:rsidRPr="00807A85" w:rsidRDefault="009A423E" w:rsidP="00807A85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16" w:tgtFrame="_blank" w:history="1">
        <w:r w:rsidR="00466AC6" w:rsidRPr="00807A8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Makarov I. A.</w:t>
        </w:r>
      </w:hyperlink>
      <w:r w:rsidR="00466AC6" w:rsidRPr="00807A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, </w:t>
      </w:r>
      <w:proofErr w:type="spellStart"/>
      <w:r w:rsidR="00466AC6" w:rsidRPr="00807A85">
        <w:rPr>
          <w:rStyle w:val="nowrap"/>
          <w:rFonts w:ascii="Times New Roman" w:hAnsi="Times New Roman"/>
          <w:sz w:val="28"/>
          <w:szCs w:val="28"/>
          <w:shd w:val="clear" w:color="auto" w:fill="FFFFFF"/>
          <w:lang w:val="en-US"/>
        </w:rPr>
        <w:t>Stepanov</w:t>
      </w:r>
      <w:proofErr w:type="spellEnd"/>
      <w:r w:rsidR="00466AC6" w:rsidRPr="00807A85">
        <w:rPr>
          <w:rStyle w:val="nowrap"/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I. A.</w:t>
      </w:r>
      <w:r w:rsidR="00466AC6" w:rsidRPr="00807A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, </w:t>
      </w:r>
      <w:proofErr w:type="spellStart"/>
      <w:r w:rsidR="00466AC6" w:rsidRPr="00807A85">
        <w:rPr>
          <w:rStyle w:val="nowrap"/>
          <w:rFonts w:ascii="Times New Roman" w:hAnsi="Times New Roman"/>
          <w:sz w:val="28"/>
          <w:szCs w:val="28"/>
          <w:shd w:val="clear" w:color="auto" w:fill="FFFFFF"/>
          <w:lang w:val="en-US"/>
        </w:rPr>
        <w:t>Kashin</w:t>
      </w:r>
      <w:proofErr w:type="spellEnd"/>
      <w:r w:rsidR="00466AC6" w:rsidRPr="00807A85">
        <w:rPr>
          <w:rStyle w:val="nowrap"/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V.</w:t>
      </w:r>
      <w:r w:rsidR="00466AC6" w:rsidRPr="00807A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hyperlink r:id="rId17" w:tgtFrame="_blank" w:history="1">
        <w:r w:rsidR="00466AC6" w:rsidRPr="00807A8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Transformation of China’s development model under Xi Jinping and its implications for Russian exports</w:t>
        </w:r>
      </w:hyperlink>
      <w:r w:rsidR="00466AC6" w:rsidRPr="00807A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// </w:t>
      </w:r>
      <w:r w:rsidR="00466AC6" w:rsidRPr="00807A85">
        <w:rPr>
          <w:rFonts w:ascii="Times New Roman" w:hAnsi="Times New Roman"/>
          <w:iCs/>
          <w:sz w:val="28"/>
          <w:szCs w:val="28"/>
          <w:shd w:val="clear" w:color="auto" w:fill="FFFFFF"/>
          <w:lang w:val="en-US"/>
        </w:rPr>
        <w:t>Asian Politics and Policy</w:t>
      </w:r>
      <w:r w:rsidR="00466AC6" w:rsidRPr="00807A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. </w:t>
      </w:r>
      <w:r w:rsidR="00466AC6" w:rsidRPr="00807A85">
        <w:rPr>
          <w:rFonts w:ascii="Times New Roman" w:hAnsi="Times New Roman"/>
          <w:sz w:val="28"/>
          <w:szCs w:val="28"/>
          <w:shd w:val="clear" w:color="auto" w:fill="FFFFFF"/>
        </w:rPr>
        <w:t xml:space="preserve">2018. </w:t>
      </w:r>
      <w:proofErr w:type="spellStart"/>
      <w:r w:rsidR="00466AC6" w:rsidRPr="00807A85">
        <w:rPr>
          <w:rFonts w:ascii="Times New Roman" w:hAnsi="Times New Roman"/>
          <w:sz w:val="28"/>
          <w:szCs w:val="28"/>
          <w:shd w:val="clear" w:color="auto" w:fill="FFFFFF"/>
        </w:rPr>
        <w:t>Vol</w:t>
      </w:r>
      <w:proofErr w:type="spellEnd"/>
      <w:r w:rsidR="00466AC6" w:rsidRPr="00807A85">
        <w:rPr>
          <w:rFonts w:ascii="Times New Roman" w:hAnsi="Times New Roman"/>
          <w:sz w:val="28"/>
          <w:szCs w:val="28"/>
          <w:shd w:val="clear" w:color="auto" w:fill="FFFFFF"/>
        </w:rPr>
        <w:t xml:space="preserve">. 10. </w:t>
      </w:r>
      <w:proofErr w:type="spellStart"/>
      <w:r w:rsidR="00466AC6" w:rsidRPr="00807A85">
        <w:rPr>
          <w:rFonts w:ascii="Times New Roman" w:hAnsi="Times New Roman"/>
          <w:sz w:val="28"/>
          <w:szCs w:val="28"/>
          <w:shd w:val="clear" w:color="auto" w:fill="FFFFFF"/>
        </w:rPr>
        <w:t>No</w:t>
      </w:r>
      <w:proofErr w:type="spellEnd"/>
      <w:r w:rsidR="00466AC6" w:rsidRPr="00807A85">
        <w:rPr>
          <w:rFonts w:ascii="Times New Roman" w:hAnsi="Times New Roman"/>
          <w:sz w:val="28"/>
          <w:szCs w:val="28"/>
          <w:shd w:val="clear" w:color="auto" w:fill="FFFFFF"/>
        </w:rPr>
        <w:t>. 4. P. 633-654</w:t>
      </w:r>
    </w:p>
    <w:p w:rsidR="00466AC6" w:rsidRPr="00807A85" w:rsidRDefault="00466AC6" w:rsidP="00807A85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7A85">
        <w:rPr>
          <w:rStyle w:val="nowrap"/>
          <w:rFonts w:ascii="Times New Roman" w:hAnsi="Times New Roman"/>
          <w:sz w:val="28"/>
          <w:szCs w:val="28"/>
          <w:shd w:val="clear" w:color="auto" w:fill="FFFFFF"/>
        </w:rPr>
        <w:t>Степанов И. А.</w:t>
      </w:r>
      <w:r w:rsidRPr="00807A85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8" w:tgtFrame="_blank" w:history="1">
        <w:r w:rsidRPr="00807A8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Перспективы энергетического сотрудничества России со странами АТР</w:t>
        </w:r>
      </w:hyperlink>
      <w:r w:rsidRPr="00807A85">
        <w:rPr>
          <w:rFonts w:ascii="Times New Roman" w:hAnsi="Times New Roman"/>
          <w:sz w:val="28"/>
          <w:szCs w:val="28"/>
          <w:shd w:val="clear" w:color="auto" w:fill="FFFFFF"/>
        </w:rPr>
        <w:t> // В кн.: Энергетика Евразии: новые тенденции и перспективы. М.: ИМЭМО РАН, 2016. С. 94-103.</w:t>
      </w:r>
    </w:p>
    <w:p w:rsidR="00466AC6" w:rsidRDefault="009A423E" w:rsidP="00807A85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hyperlink r:id="rId19" w:tgtFrame="_blank" w:history="1">
        <w:r w:rsidR="00466AC6" w:rsidRPr="00807A8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Макаров И. А.</w:t>
        </w:r>
      </w:hyperlink>
      <w:r w:rsidR="00466AC6" w:rsidRPr="00807A85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="00466AC6" w:rsidRPr="00807A85">
        <w:rPr>
          <w:rStyle w:val="nowrap"/>
          <w:rFonts w:ascii="Times New Roman" w:hAnsi="Times New Roman"/>
          <w:sz w:val="28"/>
          <w:szCs w:val="28"/>
          <w:shd w:val="clear" w:color="auto" w:fill="FFFFFF"/>
        </w:rPr>
        <w:t>Степанов И. А.</w:t>
      </w:r>
      <w:r w:rsidR="00466AC6" w:rsidRPr="00807A85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0" w:tgtFrame="_blank" w:history="1">
        <w:r w:rsidR="00466AC6" w:rsidRPr="00807A85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Экологический фактор экономического развития Российской Арктики</w:t>
        </w:r>
      </w:hyperlink>
      <w:r w:rsidR="00466AC6" w:rsidRPr="00807A85">
        <w:rPr>
          <w:rFonts w:ascii="Times New Roman" w:hAnsi="Times New Roman"/>
          <w:sz w:val="28"/>
          <w:szCs w:val="28"/>
          <w:shd w:val="clear" w:color="auto" w:fill="FFFFFF"/>
        </w:rPr>
        <w:t> // ЭКО. 2015. № 11. С. 120-138.</w:t>
      </w:r>
    </w:p>
    <w:p w:rsidR="009873CB" w:rsidRPr="009873CB" w:rsidRDefault="009873CB" w:rsidP="009873CB">
      <w:pPr>
        <w:pStyle w:val="a4"/>
        <w:spacing w:line="360" w:lineRule="auto"/>
        <w:ind w:left="720"/>
        <w:jc w:val="both"/>
        <w:rPr>
          <w:rStyle w:val="12"/>
          <w:b w:val="0"/>
          <w:szCs w:val="28"/>
          <w:lang w:eastAsia="ru-RU"/>
        </w:rPr>
      </w:pPr>
    </w:p>
    <w:p w:rsidR="00466AC6" w:rsidRPr="009873CB" w:rsidRDefault="00466AC6" w:rsidP="009873CB">
      <w:pPr>
        <w:pStyle w:val="a4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3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Результаты исследования представлены на следующих научных мероприятиях:</w:t>
      </w:r>
    </w:p>
    <w:p w:rsidR="00466AC6" w:rsidRPr="00807A85" w:rsidRDefault="00466AC6" w:rsidP="00807A85">
      <w:pPr>
        <w:pStyle w:val="a4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7A85">
        <w:rPr>
          <w:rFonts w:ascii="Times New Roman" w:hAnsi="Times New Roman"/>
          <w:sz w:val="28"/>
          <w:szCs w:val="28"/>
          <w:shd w:val="clear" w:color="auto" w:fill="FFFFFF"/>
        </w:rPr>
        <w:t>Степанов И.А. Прямые и косвенные инструменты экономического регулирования выбросов парниковых газов в Европе. XX Апрельская международная научная конференция НИУ ВШЭ, 10 апреля 2019 г., Москва</w:t>
      </w:r>
    </w:p>
    <w:p w:rsidR="00466AC6" w:rsidRPr="00807A85" w:rsidRDefault="00466AC6" w:rsidP="00807A85">
      <w:pPr>
        <w:pStyle w:val="a4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spellStart"/>
      <w:r w:rsidRPr="00807A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Stepanov</w:t>
      </w:r>
      <w:proofErr w:type="spellEnd"/>
      <w:r w:rsidRPr="00807A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I. Conventional Energy Taxes vs. Carbon-based Incentive Instruments in Emission Regulation, 3rd APEEN conference &amp; 5th Meeting on Energy and Environmental Economics, 18-19 October, Braga, 2018</w:t>
      </w:r>
    </w:p>
    <w:p w:rsidR="00466AC6" w:rsidRPr="00807A85" w:rsidRDefault="00466AC6" w:rsidP="00807A85">
      <w:pPr>
        <w:pStyle w:val="a4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807A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Cervantes B.C., </w:t>
      </w:r>
      <w:proofErr w:type="spellStart"/>
      <w:r w:rsidRPr="00807A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Vlasov</w:t>
      </w:r>
      <w:proofErr w:type="spellEnd"/>
      <w:r w:rsidRPr="00807A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K., </w:t>
      </w:r>
      <w:proofErr w:type="spellStart"/>
      <w:r w:rsidRPr="00807A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Stepanov</w:t>
      </w:r>
      <w:proofErr w:type="spellEnd"/>
      <w:r w:rsidRPr="00807A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I., Ward E. From National to Subnational: Climate Change Cooperation in the Northern Latitudes (Cases of Alaska and Tyumen regions), Stanford US-Russia Capstone Conference, 30 March – 08 April, San Francisco, 2018</w:t>
      </w:r>
    </w:p>
    <w:p w:rsidR="00466AC6" w:rsidRPr="00807A85" w:rsidRDefault="00466AC6" w:rsidP="00807A85">
      <w:pPr>
        <w:pStyle w:val="a4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spellStart"/>
      <w:r w:rsidRPr="00807A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Stepanov</w:t>
      </w:r>
      <w:proofErr w:type="spellEnd"/>
      <w:r w:rsidRPr="00807A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I., Ellen Ward, Challenges and Opportunities of US-Russia Climate Cooperation, Fort Ross Dialogue, 16 October San Francisco, 2018 </w:t>
      </w:r>
    </w:p>
    <w:p w:rsidR="00466AC6" w:rsidRPr="00807A85" w:rsidRDefault="00466AC6" w:rsidP="00807A85">
      <w:pPr>
        <w:pStyle w:val="a4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7A85">
        <w:rPr>
          <w:rFonts w:ascii="Times New Roman" w:hAnsi="Times New Roman"/>
          <w:sz w:val="28"/>
          <w:szCs w:val="28"/>
          <w:shd w:val="clear" w:color="auto" w:fill="FFFFFF"/>
        </w:rPr>
        <w:t xml:space="preserve">Степанов И.А. Сравнительный анализ </w:t>
      </w:r>
      <w:proofErr w:type="gramStart"/>
      <w:r w:rsidRPr="00807A85">
        <w:rPr>
          <w:rFonts w:ascii="Times New Roman" w:hAnsi="Times New Roman"/>
          <w:sz w:val="28"/>
          <w:szCs w:val="28"/>
          <w:shd w:val="clear" w:color="auto" w:fill="FFFFFF"/>
        </w:rPr>
        <w:t>экономических механизмов</w:t>
      </w:r>
      <w:proofErr w:type="gramEnd"/>
      <w:r w:rsidRPr="00807A85">
        <w:rPr>
          <w:rFonts w:ascii="Times New Roman" w:hAnsi="Times New Roman"/>
          <w:sz w:val="28"/>
          <w:szCs w:val="28"/>
          <w:shd w:val="clear" w:color="auto" w:fill="FFFFFF"/>
        </w:rPr>
        <w:t xml:space="preserve"> регулирования выбросов, 3ий российский экономический конгресс, 21-23 декабря 2016 г., Москва</w:t>
      </w:r>
    </w:p>
    <w:p w:rsidR="00466AC6" w:rsidRPr="00807A85" w:rsidRDefault="009873CB" w:rsidP="00807A85">
      <w:pPr>
        <w:pStyle w:val="a4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7A85">
        <w:rPr>
          <w:rFonts w:ascii="Times New Roman" w:hAnsi="Times New Roman"/>
          <w:sz w:val="28"/>
          <w:szCs w:val="28"/>
          <w:shd w:val="clear" w:color="auto" w:fill="FFFFFF"/>
        </w:rPr>
        <w:t xml:space="preserve">"Энергетика Евразии: </w:t>
      </w:r>
      <w:proofErr w:type="gramStart"/>
      <w:r w:rsidRPr="00807A85">
        <w:rPr>
          <w:rFonts w:ascii="Times New Roman" w:hAnsi="Times New Roman"/>
          <w:sz w:val="28"/>
          <w:szCs w:val="28"/>
          <w:shd w:val="clear" w:color="auto" w:fill="FFFFFF"/>
        </w:rPr>
        <w:t>новый</w:t>
      </w:r>
      <w:proofErr w:type="gramEnd"/>
      <w:r w:rsidRPr="00807A85">
        <w:rPr>
          <w:rFonts w:ascii="Times New Roman" w:hAnsi="Times New Roman"/>
          <w:sz w:val="28"/>
          <w:szCs w:val="28"/>
          <w:shd w:val="clear" w:color="auto" w:fill="FFFFFF"/>
        </w:rPr>
        <w:t xml:space="preserve"> тенденции и перспективы" (Москва). Доклад: Перспективы развития энергетического сотрудничества России со странами Азиатско-Тихоокеанского регион / международная конференция ИМЭМО РАН «Энергетика Евразии: новые тенденции и перспективы», 4 декабря 2015, Москва</w:t>
      </w:r>
    </w:p>
    <w:p w:rsidR="00466AC6" w:rsidRPr="009873CB" w:rsidRDefault="00466AC6" w:rsidP="000663D8">
      <w:pPr>
        <w:pStyle w:val="a4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</w:p>
    <w:p w:rsidR="00466AC6" w:rsidRPr="009873CB" w:rsidRDefault="00466AC6" w:rsidP="000663D8">
      <w:pPr>
        <w:pStyle w:val="a4"/>
        <w:ind w:firstLine="567"/>
        <w:jc w:val="both"/>
        <w:rPr>
          <w:rStyle w:val="12"/>
          <w:b w:val="0"/>
          <w:color w:val="000000"/>
          <w:szCs w:val="28"/>
          <w:lang w:eastAsia="ru-RU"/>
        </w:rPr>
      </w:pPr>
    </w:p>
    <w:p w:rsidR="000663D8" w:rsidRPr="009A423E" w:rsidRDefault="000663D8" w:rsidP="009A423E">
      <w:pPr>
        <w:pStyle w:val="1"/>
        <w:rPr>
          <w:rStyle w:val="12"/>
          <w:b/>
          <w:shd w:val="clear" w:color="auto" w:fill="auto"/>
        </w:rPr>
      </w:pPr>
      <w:r w:rsidRPr="009A423E">
        <w:rPr>
          <w:rStyle w:val="12"/>
          <w:b/>
          <w:shd w:val="clear" w:color="auto" w:fill="auto"/>
        </w:rPr>
        <w:lastRenderedPageBreak/>
        <w:t>Список использованных источников и литературы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550629">
        <w:rPr>
          <w:rFonts w:ascii="Times New Roman" w:eastAsiaTheme="minorEastAsia" w:hAnsi="Times New Roman" w:cs="Times New Roman"/>
          <w:sz w:val="28"/>
          <w:szCs w:val="28"/>
        </w:rPr>
        <w:t>Аверченков</w:t>
      </w:r>
      <w:proofErr w:type="spellEnd"/>
      <w:r w:rsidRPr="00550629">
        <w:rPr>
          <w:rFonts w:ascii="Times New Roman" w:eastAsiaTheme="minorEastAsia" w:hAnsi="Times New Roman" w:cs="Times New Roman"/>
          <w:sz w:val="28"/>
          <w:szCs w:val="28"/>
        </w:rPr>
        <w:t xml:space="preserve">, А. А., </w:t>
      </w:r>
      <w:proofErr w:type="spellStart"/>
      <w:r w:rsidRPr="00550629">
        <w:rPr>
          <w:rFonts w:ascii="Times New Roman" w:eastAsiaTheme="minorEastAsia" w:hAnsi="Times New Roman" w:cs="Times New Roman"/>
          <w:sz w:val="28"/>
          <w:szCs w:val="28"/>
        </w:rPr>
        <w:t>Галенович</w:t>
      </w:r>
      <w:proofErr w:type="spellEnd"/>
      <w:r w:rsidRPr="00550629">
        <w:rPr>
          <w:rFonts w:ascii="Times New Roman" w:eastAsiaTheme="minorEastAsia" w:hAnsi="Times New Roman" w:cs="Times New Roman"/>
          <w:sz w:val="28"/>
          <w:szCs w:val="28"/>
        </w:rPr>
        <w:t>, А. Ю., Сафонов, Г. В., Федоров, Ю. Н., 2013. Регулирование выбросов парниковых газов как фактор повышения конкурентоспособности страны, НОПППУ.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50629">
        <w:rPr>
          <w:rFonts w:ascii="Times New Roman" w:eastAsiaTheme="minorEastAsia" w:hAnsi="Times New Roman" w:cs="Times New Roman"/>
          <w:sz w:val="28"/>
          <w:szCs w:val="28"/>
        </w:rPr>
        <w:t>Башмаков И.А.</w:t>
      </w:r>
      <w:r w:rsidRPr="009A423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550629">
        <w:rPr>
          <w:rFonts w:ascii="Times New Roman" w:eastAsiaTheme="minorEastAsia" w:hAnsi="Times New Roman" w:cs="Times New Roman"/>
          <w:sz w:val="28"/>
          <w:szCs w:val="28"/>
        </w:rPr>
        <w:t>2018. Налог на углерод в системе налогов на энергию и экологических налогов. Экологический вестник России. Нефть. Газ. Химия: ООС (3)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Baker, E., Clarke, L. and </w:t>
      </w: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Weyant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J., 2006. Optimal technology R&amp;D in the face of climate uncertainty.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Climatic Change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78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(1), pp.157-179.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Brink, C., </w:t>
      </w: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Vollebergh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H.R. and van der </w:t>
      </w: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Werf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E., 2016. Carbon pricing in the EU: Evaluation of different EU ETS reform options.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Energy Policy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97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pp.603-617.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Ellerman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A.D. and Wing, I.S., 2003. Absolute versus intensity-based emission caps. </w:t>
      </w:r>
      <w:proofErr w:type="spellStart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Climate</w:t>
      </w:r>
      <w:proofErr w:type="spellEnd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Policy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3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(sup2), pp.S7-S20.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50629">
        <w:rPr>
          <w:rFonts w:ascii="Times New Roman" w:eastAsiaTheme="minorEastAsia" w:hAnsi="Times New Roman" w:cs="Times New Roman"/>
          <w:sz w:val="28"/>
          <w:szCs w:val="28"/>
          <w:lang w:val="en-US"/>
        </w:rPr>
        <w:t>European Commission. EU Emissions Trading System (EU ETS) (available at: https://ec.europa.eu/clima/policies/ets_en)</w:t>
      </w:r>
    </w:p>
    <w:p w:rsidR="009A423E" w:rsidRPr="00550629" w:rsidRDefault="009A423E" w:rsidP="009A423E">
      <w:pPr>
        <w:pStyle w:val="aa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Fan, Y., </w:t>
      </w: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Jia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J.J., Wang, X. and </w:t>
      </w: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Xu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J.H., 2017. What policy adjustments in the EU ETS truly affected the carbon prices</w:t>
      </w:r>
      <w:proofErr w:type="gram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?.</w:t>
      </w:r>
      <w:proofErr w:type="gram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Energy Policy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103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pp.145-164.</w:t>
      </w:r>
    </w:p>
    <w:p w:rsidR="009A423E" w:rsidRPr="00550629" w:rsidRDefault="009A423E" w:rsidP="009A423E">
      <w:pPr>
        <w:pStyle w:val="aa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Goulder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L.H., Parry, I.W. and </w:t>
      </w: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Burtraw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D., 1996.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Revenue-raising vs. other approaches to environmental protection: the critical significance of pre-existing tax distortions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 (No. w5641). </w:t>
      </w: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National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bureau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of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economic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research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550629">
        <w:rPr>
          <w:rFonts w:ascii="Times New Roman" w:eastAsiaTheme="minorEastAsia" w:hAnsi="Times New Roman" w:cs="Times New Roman"/>
          <w:sz w:val="28"/>
          <w:szCs w:val="28"/>
          <w:lang w:val="en-US"/>
        </w:rPr>
        <w:t>Goulder</w:t>
      </w:r>
      <w:proofErr w:type="spellEnd"/>
      <w:r w:rsidRPr="00550629">
        <w:rPr>
          <w:rFonts w:ascii="Times New Roman" w:eastAsiaTheme="minorEastAsia" w:hAnsi="Times New Roman" w:cs="Times New Roman"/>
          <w:sz w:val="28"/>
          <w:szCs w:val="28"/>
          <w:lang w:val="en-US"/>
        </w:rPr>
        <w:t>, L. H., &amp; Schein, A., 2009. Carbon taxes vs. cap and trade. In Stanford University Working paper.</w:t>
      </w:r>
      <w:r w:rsidRPr="00550629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5506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Hoel</w:t>
      </w:r>
      <w:proofErr w:type="spellEnd"/>
      <w:r w:rsidRPr="005506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M., Sterner T., 2007 </w:t>
      </w:r>
      <w:proofErr w:type="gramStart"/>
      <w:r w:rsidRPr="005506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Discounting</w:t>
      </w:r>
      <w:proofErr w:type="gramEnd"/>
      <w:r w:rsidRPr="005506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and relative prices. Climatic Change. 87(3-4), pp. 265-280.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550629">
        <w:rPr>
          <w:rFonts w:ascii="Times New Roman" w:eastAsiaTheme="minorEastAsia" w:hAnsi="Times New Roman" w:cs="Times New Roman"/>
          <w:sz w:val="28"/>
          <w:szCs w:val="28"/>
          <w:lang w:val="en-US"/>
        </w:rPr>
        <w:t>Hoel</w:t>
      </w:r>
      <w:proofErr w:type="spellEnd"/>
      <w:r w:rsidRPr="00550629">
        <w:rPr>
          <w:rFonts w:ascii="Times New Roman" w:eastAsiaTheme="minorEastAsia" w:hAnsi="Times New Roman" w:cs="Times New Roman"/>
          <w:sz w:val="28"/>
          <w:szCs w:val="28"/>
          <w:lang w:val="en-US"/>
        </w:rPr>
        <w:t>, M., &amp; Karp, L., 2001. Taxes and quotas for a stock pollutant with multiplicative uncertainty. Journal of public Economics, 82(1), 91-114.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50629">
        <w:rPr>
          <w:rFonts w:ascii="Times New Roman" w:eastAsiaTheme="minorEastAsia" w:hAnsi="Times New Roman" w:cs="Times New Roman"/>
          <w:sz w:val="28"/>
          <w:szCs w:val="28"/>
          <w:lang w:val="en-US"/>
        </w:rPr>
        <w:t>IEA (2017). CO2 emissions from fuel combustion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lastRenderedPageBreak/>
        <w:t>IEA, 2011. Summing up the Parts.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 xml:space="preserve">Combining Policy Instruments for Least-Cost Climate Mitigation Strategies, IEA Information Paper, </w:t>
      </w:r>
      <w:proofErr w:type="gramStart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Paris</w:t>
      </w:r>
      <w:proofErr w:type="gram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Jacoby, H.D. and </w:t>
      </w: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Ellerman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A.D., 2004. The safety valve and climate policy. </w:t>
      </w:r>
      <w:proofErr w:type="spellStart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Energy</w:t>
      </w:r>
      <w:proofErr w:type="spellEnd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policy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32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(4), pp.481-491.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506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Jeffrey, C., &amp; Perkins, J. D., 2015. The association between energy taxation, participation </w:t>
      </w:r>
      <w:proofErr w:type="gramStart"/>
      <w:r w:rsidRPr="00550629">
        <w:rPr>
          <w:rFonts w:ascii="Times New Roman" w:eastAsiaTheme="minorEastAsia" w:hAnsi="Times New Roman" w:cs="Times New Roman"/>
          <w:sz w:val="28"/>
          <w:szCs w:val="28"/>
          <w:lang w:val="en-US"/>
        </w:rPr>
        <w:t>in an emissions</w:t>
      </w:r>
      <w:proofErr w:type="gramEnd"/>
      <w:r w:rsidRPr="005506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trading system, and the intensity of carbon dioxide emissions in the European Union. The International Journal of Accounting, 50(4), 397-417.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0629">
        <w:rPr>
          <w:rFonts w:ascii="Times New Roman" w:hAnsi="Times New Roman" w:cs="Times New Roman"/>
          <w:sz w:val="28"/>
          <w:szCs w:val="28"/>
          <w:lang w:val="en-US"/>
        </w:rPr>
        <w:t xml:space="preserve">Jerry R., Byers Jr. 2017. Russian Energy Efficiency. Can Extraction Tax Policy Improve Energy Intensity? </w:t>
      </w:r>
      <w:hyperlink r:id="rId21" w:history="1">
        <w:r w:rsidRPr="00550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https://eu.spb.ru/images/centres/ENERPO_RC/Reports/2017-07-03_Russian_Energy_Efficiency.pdf</w:t>
        </w:r>
      </w:hyperlink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Kolstad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C.D., 1996. Learning and stock effects in environmental regulation: the case of greenhouse gas emissions.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Journal of environmental economics and management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31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(1), pp.1-18.</w:t>
      </w:r>
    </w:p>
    <w:p w:rsidR="009A423E" w:rsidRPr="00550629" w:rsidRDefault="009A423E" w:rsidP="009A423E">
      <w:pPr>
        <w:pStyle w:val="aa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Mansur, E.T., 2013. Prices versus quantities: environmental regulation and imperfect competition. </w:t>
      </w:r>
      <w:proofErr w:type="spellStart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Journal</w:t>
      </w:r>
      <w:proofErr w:type="spellEnd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of</w:t>
      </w:r>
      <w:proofErr w:type="spellEnd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regulatory</w:t>
      </w:r>
      <w:proofErr w:type="spellEnd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Economics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44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(1), pp.80-102.</w:t>
      </w:r>
    </w:p>
    <w:p w:rsidR="009A423E" w:rsidRPr="00550629" w:rsidRDefault="009A423E" w:rsidP="009A423E">
      <w:pPr>
        <w:pStyle w:val="aa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50629">
        <w:rPr>
          <w:rFonts w:ascii="Times New Roman" w:hAnsi="Times New Roman" w:cs="Times New Roman"/>
          <w:sz w:val="28"/>
          <w:szCs w:val="28"/>
          <w:lang w:val="en-US"/>
        </w:rPr>
        <w:t>McKinsey  &amp;</w:t>
      </w:r>
      <w:proofErr w:type="gramEnd"/>
      <w:r w:rsidRPr="00550629">
        <w:rPr>
          <w:rFonts w:ascii="Times New Roman" w:hAnsi="Times New Roman" w:cs="Times New Roman"/>
          <w:sz w:val="28"/>
          <w:szCs w:val="28"/>
          <w:lang w:val="en-US"/>
        </w:rPr>
        <w:t xml:space="preserve"> Company. 2009 Pathways to an Energy and Carbon Efficient Russia. https://www.mckinsey.com/~/media/mckinsey/dotcom/client_service/sustainability/cost%20curve%20pdfs/russian_cost_curve_summary_english.ashx</w:t>
      </w:r>
    </w:p>
    <w:p w:rsidR="009A423E" w:rsidRPr="00550629" w:rsidRDefault="009A423E" w:rsidP="009A423E">
      <w:pPr>
        <w:pStyle w:val="aa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Metcalf, G.E., 2007.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A proposal for a US carbon tax swap: An equitable tax reform to address global climate change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Brookings Institution.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Murray, B. and Rivers, N., 2015. British Columbia’s revenue-neutral carbon tax: A review of the latest “grand experiment” in environmental policy.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Energy Policy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86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pp.674-683</w:t>
      </w:r>
    </w:p>
    <w:p w:rsidR="009A423E" w:rsidRPr="00550629" w:rsidRDefault="009A423E" w:rsidP="009A423E">
      <w:pPr>
        <w:pStyle w:val="aa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Muûls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M., </w:t>
      </w: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Colmer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J., Martin, R. and Wagner, U.J., 2016. Evaluating the EU Emissions Trading System: Take it or leave it? An assessment of the data after ten years.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Grantham Institute Briefing Paper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21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lastRenderedPageBreak/>
        <w:t xml:space="preserve">Newell, R.G. and </w:t>
      </w: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Pizer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W.A., 2008. Indexed regulation.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Journal of Environmental Economics and management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56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(3), pp.221-233.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5506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Nordhaus</w:t>
      </w:r>
      <w:proofErr w:type="spellEnd"/>
      <w:r w:rsidRPr="005506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W. D., 2014. A question of balance: Weighing the options on global warming policies. – Yale University Press.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Nordhaus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W.D., 1992. An optimal transition path for controlling greenhouse gases.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Science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258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(5086), pp.1315-1319.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Nordhaus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W.D., 2010. Economic aspects of global warming in a post-Copenhagen environment.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Proceedings of the National Academy of Sciences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107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(26), pp.11721-11726.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Nordhaus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W.D. and Yang, Z., 1996. A regional dynamic general-equilibrium model of alternative climate-change strategies.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The American Economic Review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pp.741-765.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5506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Nordhaus</w:t>
      </w:r>
      <w:proofErr w:type="spellEnd"/>
      <w:r w:rsidRPr="005506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W., </w:t>
      </w:r>
      <w:proofErr w:type="spellStart"/>
      <w:r w:rsidRPr="005506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Sztorc</w:t>
      </w:r>
      <w:proofErr w:type="spellEnd"/>
      <w:r w:rsidRPr="005506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P., 2013. DICE 2013R: Introduction and user’s manual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50629">
        <w:rPr>
          <w:rFonts w:ascii="Times New Roman" w:eastAsiaTheme="minorEastAsia" w:hAnsi="Times New Roman" w:cs="Times New Roman"/>
          <w:sz w:val="28"/>
          <w:szCs w:val="28"/>
          <w:lang w:val="en-US"/>
        </w:rPr>
        <w:t>OECD, 2018. Taxing Energy Use 2018. Companion to the Taxing Energy Use Database. OECD Publishing.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Pizer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W.A., 2002. Combining price and quantity controls to mitigate global climate change.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Journal of public economics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85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(3), pp.409-434.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Pizer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W.A., 1999. The optimal choice of climate change policy in the presence of uncertainty.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Resource and Energy Economics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21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(3-4), pp.255-287.</w:t>
      </w:r>
      <w:r w:rsidRPr="005506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Quirion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P., 2005. Does uncertainty justify intensity emission caps</w:t>
      </w:r>
      <w:proofErr w:type="gram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?.</w:t>
      </w:r>
      <w:proofErr w:type="gram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 </w:t>
      </w:r>
      <w:proofErr w:type="spellStart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Resource</w:t>
      </w:r>
      <w:proofErr w:type="spellEnd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and</w:t>
      </w:r>
      <w:proofErr w:type="spellEnd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Energy</w:t>
      </w:r>
      <w:proofErr w:type="spellEnd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Economics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27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(4), pp.343-353.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506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Speck, S., 2008. The design of carbon and broad-based energy taxes in European countries. Vt. J. </w:t>
      </w:r>
      <w:proofErr w:type="spellStart"/>
      <w:r w:rsidRPr="00550629">
        <w:rPr>
          <w:rFonts w:ascii="Times New Roman" w:eastAsiaTheme="minorEastAsia" w:hAnsi="Times New Roman" w:cs="Times New Roman"/>
          <w:sz w:val="28"/>
          <w:szCs w:val="28"/>
          <w:lang w:val="en-US"/>
        </w:rPr>
        <w:t>Envt</w:t>
      </w:r>
      <w:proofErr w:type="spellEnd"/>
      <w:r w:rsidRPr="00550629">
        <w:rPr>
          <w:rFonts w:ascii="Times New Roman" w:eastAsiaTheme="minorEastAsia" w:hAnsi="Times New Roman" w:cs="Times New Roman"/>
          <w:sz w:val="28"/>
          <w:szCs w:val="28"/>
          <w:lang w:val="en-US"/>
        </w:rPr>
        <w:t>. L., 10, 31.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Stavins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R.N., 1995. Transaction costs and </w:t>
      </w: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tradeable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permits.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Journal of environmental economics and management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29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(2), pp.133-148.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550629">
        <w:rPr>
          <w:rFonts w:ascii="Times New Roman" w:eastAsiaTheme="minorEastAsia" w:hAnsi="Times New Roman" w:cs="Times New Roman"/>
          <w:sz w:val="28"/>
          <w:szCs w:val="28"/>
          <w:lang w:val="en-US"/>
        </w:rPr>
        <w:t>Stavins</w:t>
      </w:r>
      <w:proofErr w:type="spellEnd"/>
      <w:r w:rsidRPr="00550629">
        <w:rPr>
          <w:rFonts w:ascii="Times New Roman" w:eastAsiaTheme="minorEastAsia" w:hAnsi="Times New Roman" w:cs="Times New Roman"/>
          <w:sz w:val="28"/>
          <w:szCs w:val="28"/>
          <w:lang w:val="en-US"/>
        </w:rPr>
        <w:t>, R. N., 2007. A US cap-and-trade system to address global climate change. KSG Working Paper No. RWP07-052. Hamilton Project Discussion Paper No. 2007-13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Tvinnereim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E. and </w:t>
      </w: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Mehling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M., 2018. Carbon pricing and deep </w:t>
      </w:r>
      <w:proofErr w:type="spellStart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decarbonisation</w:t>
      </w:r>
      <w:proofErr w:type="spellEnd"/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Energy Policy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121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pp.185-189.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lastRenderedPageBreak/>
        <w:t>Weitzman, M.L., 1974. Prices vs. quantities.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The review of economic studies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 </w:t>
      </w:r>
      <w:r w:rsidRPr="0055062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41</w:t>
      </w:r>
      <w:r w:rsidRPr="005506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(4), pp.477-491.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50629">
        <w:rPr>
          <w:rFonts w:ascii="Times New Roman" w:eastAsiaTheme="minorEastAsia" w:hAnsi="Times New Roman" w:cs="Times New Roman"/>
          <w:sz w:val="28"/>
          <w:szCs w:val="28"/>
          <w:lang w:val="en-US"/>
        </w:rPr>
        <w:t>World Bank, 2018. State and trends of carbon pricing 2018, Washington DC.</w:t>
      </w:r>
    </w:p>
    <w:p w:rsidR="009A423E" w:rsidRPr="00550629" w:rsidRDefault="009A423E" w:rsidP="009A423E">
      <w:pPr>
        <w:pStyle w:val="a3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06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Yang Z., 2018. Strategic bargaining and cooperation in greenhouse gas mitigations: An integrated assessment modeling approach. – MIT Press.</w:t>
      </w:r>
    </w:p>
    <w:p w:rsidR="00FF1CC1" w:rsidRPr="009A423E" w:rsidRDefault="00FF1CC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423E">
        <w:rPr>
          <w:lang w:val="en-US"/>
        </w:rPr>
        <w:br w:type="page"/>
      </w:r>
    </w:p>
    <w:p w:rsidR="00FF1CC1" w:rsidRPr="00FF1CC1" w:rsidRDefault="00FF1CC1" w:rsidP="009A423E">
      <w:pPr>
        <w:pStyle w:val="1"/>
      </w:pPr>
      <w:r>
        <w:lastRenderedPageBreak/>
        <w:t>Приложения</w:t>
      </w:r>
    </w:p>
    <w:p w:rsidR="00FF1CC1" w:rsidRPr="00FF1CC1" w:rsidRDefault="00FF1CC1" w:rsidP="00807A85">
      <w:pPr>
        <w:pStyle w:val="a4"/>
        <w:spacing w:after="240"/>
        <w:jc w:val="right"/>
        <w:rPr>
          <w:rStyle w:val="12"/>
          <w:i/>
          <w:color w:val="000000"/>
          <w:szCs w:val="28"/>
          <w:lang w:eastAsia="ru-RU"/>
        </w:rPr>
      </w:pPr>
      <w:r w:rsidRPr="00FF1CC1">
        <w:rPr>
          <w:rStyle w:val="12"/>
          <w:i/>
          <w:color w:val="000000"/>
          <w:szCs w:val="28"/>
          <w:lang w:eastAsia="ru-RU"/>
        </w:rPr>
        <w:t>Приложение 1</w:t>
      </w:r>
    </w:p>
    <w:p w:rsidR="00FF1CC1" w:rsidRDefault="00FF1CC1" w:rsidP="00FF1CC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AFEA614" wp14:editId="66360A2E">
            <wp:extent cx="4572000" cy="2743200"/>
            <wp:effectExtent l="0" t="0" r="0" b="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CC1" w:rsidRDefault="00FF1CC1" w:rsidP="00FF1CC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Рисунок 1 – Динамика выбросов СО2 в России (справа), </w:t>
      </w:r>
      <w:proofErr w:type="gramStart"/>
      <w:r>
        <w:rPr>
          <w:rFonts w:ascii="Times New Roman" w:hAnsi="Times New Roman" w:cs="Times New Roman"/>
          <w:sz w:val="26"/>
          <w:szCs w:val="26"/>
        </w:rPr>
        <w:t>млн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 и динамика в</w:t>
      </w:r>
      <w:r w:rsidR="005A3E2E">
        <w:rPr>
          <w:rFonts w:ascii="Times New Roman" w:hAnsi="Times New Roman" w:cs="Times New Roman"/>
          <w:sz w:val="26"/>
          <w:szCs w:val="26"/>
        </w:rPr>
        <w:t>мененной</w:t>
      </w:r>
      <w:r>
        <w:rPr>
          <w:rFonts w:ascii="Times New Roman" w:hAnsi="Times New Roman" w:cs="Times New Roman"/>
          <w:sz w:val="26"/>
          <w:szCs w:val="26"/>
        </w:rPr>
        <w:t xml:space="preserve"> цены на углерод, посчитанной по НДПИ, (слева), руб. за т СО2</w:t>
      </w:r>
    </w:p>
    <w:p w:rsidR="00FF1CC1" w:rsidRDefault="00FF1CC1" w:rsidP="00FF1CC1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955376">
        <w:rPr>
          <w:rFonts w:ascii="Times New Roman" w:hAnsi="Times New Roman" w:cs="Times New Roman"/>
          <w:i/>
          <w:sz w:val="26"/>
          <w:szCs w:val="26"/>
        </w:rPr>
        <w:t>Источник: составлено авторами</w:t>
      </w:r>
    </w:p>
    <w:p w:rsidR="00FF1CC1" w:rsidRDefault="00FF1CC1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FF1CC1" w:rsidRPr="00FF1CC1" w:rsidRDefault="00FF1CC1" w:rsidP="00807A85">
      <w:pPr>
        <w:pStyle w:val="a4"/>
        <w:spacing w:after="240"/>
        <w:jc w:val="right"/>
        <w:rPr>
          <w:rStyle w:val="12"/>
          <w:i/>
          <w:color w:val="000000"/>
          <w:szCs w:val="28"/>
          <w:lang w:eastAsia="ru-RU"/>
        </w:rPr>
      </w:pPr>
      <w:r w:rsidRPr="00FF1CC1">
        <w:rPr>
          <w:rStyle w:val="12"/>
          <w:i/>
          <w:color w:val="000000"/>
          <w:szCs w:val="28"/>
          <w:lang w:eastAsia="ru-RU"/>
        </w:rPr>
        <w:lastRenderedPageBreak/>
        <w:t>Приложение 2</w:t>
      </w:r>
    </w:p>
    <w:p w:rsidR="00FF1CC1" w:rsidRPr="00CF0B0F" w:rsidRDefault="00FF1CC1" w:rsidP="00FF1CC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noProof/>
          <w:lang w:eastAsia="ru-RU"/>
        </w:rPr>
        <w:drawing>
          <wp:inline distT="0" distB="0" distL="0" distR="0" wp14:anchorId="6C6BF55F" wp14:editId="04B13BEB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F1CC1" w:rsidRPr="00E54BF1" w:rsidRDefault="00FF1CC1" w:rsidP="00FF1C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BF1">
        <w:rPr>
          <w:rFonts w:ascii="Times New Roman" w:hAnsi="Times New Roman" w:cs="Times New Roman"/>
          <w:sz w:val="28"/>
          <w:szCs w:val="28"/>
        </w:rPr>
        <w:t>Рисунок 2 – Объем налоговых поступлений от НДПИ в расчете на единицу выбросов для угля, нефти и природного газа, руб. за тыс. т выбросов СО</w:t>
      </w:r>
      <w:proofErr w:type="gramStart"/>
      <w:r w:rsidRPr="00E54B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FF1CC1" w:rsidRDefault="00FF1CC1" w:rsidP="00FF1CC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BF1">
        <w:rPr>
          <w:rFonts w:ascii="Times New Roman" w:hAnsi="Times New Roman" w:cs="Times New Roman"/>
          <w:i/>
          <w:sz w:val="28"/>
          <w:szCs w:val="28"/>
        </w:rPr>
        <w:t xml:space="preserve">Источник: рассчитано авторами на основе данных ФНС и ОЭСР. </w:t>
      </w:r>
    </w:p>
    <w:p w:rsidR="00FF1CC1" w:rsidRDefault="00FF1C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FF1CC1" w:rsidRPr="00FF1CC1" w:rsidRDefault="00FF1CC1" w:rsidP="00807A85">
      <w:pPr>
        <w:pStyle w:val="a4"/>
        <w:spacing w:after="240"/>
        <w:jc w:val="right"/>
        <w:rPr>
          <w:rStyle w:val="12"/>
          <w:i/>
          <w:color w:val="000000"/>
          <w:szCs w:val="28"/>
          <w:lang w:eastAsia="ru-RU"/>
        </w:rPr>
      </w:pPr>
      <w:r w:rsidRPr="00FF1CC1">
        <w:rPr>
          <w:rStyle w:val="12"/>
          <w:i/>
          <w:color w:val="000000"/>
          <w:szCs w:val="28"/>
          <w:lang w:eastAsia="ru-RU"/>
        </w:rPr>
        <w:lastRenderedPageBreak/>
        <w:t>Приложение 3</w:t>
      </w:r>
    </w:p>
    <w:p w:rsidR="00FF1CC1" w:rsidRDefault="00FF1CC1" w:rsidP="00FF1CC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B624531" wp14:editId="2405190E">
            <wp:extent cx="6008077" cy="4829747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770" cy="4828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1CC1" w:rsidRDefault="00FF1CC1" w:rsidP="00FF1CC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Рисунок </w:t>
      </w:r>
      <w:r w:rsidRPr="0095537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– Изменение налогообложения угля и природного газа </w:t>
      </w:r>
    </w:p>
    <w:p w:rsidR="00FF1CC1" w:rsidRDefault="00FF1CC1" w:rsidP="00FF1CC1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94874">
        <w:rPr>
          <w:rFonts w:ascii="Times New Roman" w:hAnsi="Times New Roman" w:cs="Times New Roman"/>
          <w:i/>
          <w:sz w:val="26"/>
          <w:szCs w:val="26"/>
        </w:rPr>
        <w:t xml:space="preserve">Источник: составлено </w:t>
      </w:r>
      <w:r>
        <w:rPr>
          <w:rFonts w:ascii="Times New Roman" w:hAnsi="Times New Roman" w:cs="Times New Roman"/>
          <w:i/>
          <w:sz w:val="26"/>
          <w:szCs w:val="26"/>
        </w:rPr>
        <w:t>авторами</w:t>
      </w:r>
    </w:p>
    <w:p w:rsidR="00FF1CC1" w:rsidRPr="00FF1CC1" w:rsidRDefault="00FF1CC1" w:rsidP="007D2A98">
      <w:pPr>
        <w:pStyle w:val="a4"/>
        <w:jc w:val="both"/>
        <w:rPr>
          <w:rStyle w:val="12"/>
          <w:color w:val="000000"/>
          <w:szCs w:val="28"/>
          <w:lang w:eastAsia="ru-RU"/>
        </w:rPr>
      </w:pPr>
      <w:bookmarkStart w:id="0" w:name="_GoBack"/>
      <w:bookmarkEnd w:id="0"/>
    </w:p>
    <w:sectPr w:rsidR="00FF1CC1" w:rsidRPr="00FF1CC1" w:rsidSect="00807A85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F9" w:rsidRDefault="004539F9" w:rsidP="00D50B11">
      <w:pPr>
        <w:spacing w:after="0" w:line="240" w:lineRule="auto"/>
      </w:pPr>
      <w:r>
        <w:separator/>
      </w:r>
    </w:p>
  </w:endnote>
  <w:endnote w:type="continuationSeparator" w:id="0">
    <w:p w:rsidR="004539F9" w:rsidRDefault="004539F9" w:rsidP="00D5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115399743"/>
      <w:docPartObj>
        <w:docPartGallery w:val="Page Numbers (Bottom of Page)"/>
        <w:docPartUnique/>
      </w:docPartObj>
    </w:sdtPr>
    <w:sdtContent>
      <w:p w:rsidR="009A423E" w:rsidRPr="00FF1CC1" w:rsidRDefault="009A423E">
        <w:pPr>
          <w:pStyle w:val="ae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F1C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1C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1C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3604">
          <w:rPr>
            <w:rFonts w:ascii="Times New Roman" w:hAnsi="Times New Roman" w:cs="Times New Roman"/>
            <w:noProof/>
            <w:sz w:val="28"/>
            <w:szCs w:val="28"/>
          </w:rPr>
          <w:t>31</w:t>
        </w:r>
        <w:r w:rsidRPr="00FF1C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A423E" w:rsidRPr="00FF1CC1" w:rsidRDefault="009A423E">
    <w:pPr>
      <w:pStyle w:val="ae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F9" w:rsidRDefault="004539F9" w:rsidP="00D50B11">
      <w:pPr>
        <w:spacing w:after="0" w:line="240" w:lineRule="auto"/>
      </w:pPr>
      <w:r>
        <w:separator/>
      </w:r>
    </w:p>
  </w:footnote>
  <w:footnote w:type="continuationSeparator" w:id="0">
    <w:p w:rsidR="004539F9" w:rsidRDefault="004539F9" w:rsidP="00D50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4984"/>
    <w:multiLevelType w:val="hybridMultilevel"/>
    <w:tmpl w:val="33C6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848F6"/>
    <w:multiLevelType w:val="hybridMultilevel"/>
    <w:tmpl w:val="ABEC0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E275C"/>
    <w:multiLevelType w:val="multilevel"/>
    <w:tmpl w:val="4F14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56FD0"/>
    <w:multiLevelType w:val="hybridMultilevel"/>
    <w:tmpl w:val="32AA2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12992"/>
    <w:multiLevelType w:val="hybridMultilevel"/>
    <w:tmpl w:val="4CF4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B63FE"/>
    <w:multiLevelType w:val="hybridMultilevel"/>
    <w:tmpl w:val="983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55ECD"/>
    <w:multiLevelType w:val="hybridMultilevel"/>
    <w:tmpl w:val="32AA2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3010E"/>
    <w:multiLevelType w:val="hybridMultilevel"/>
    <w:tmpl w:val="A8BCAA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D5F610D"/>
    <w:multiLevelType w:val="hybridMultilevel"/>
    <w:tmpl w:val="5D4C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91797"/>
    <w:multiLevelType w:val="hybridMultilevel"/>
    <w:tmpl w:val="6B446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31F7A"/>
    <w:multiLevelType w:val="hybridMultilevel"/>
    <w:tmpl w:val="9064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F96"/>
    <w:multiLevelType w:val="hybridMultilevel"/>
    <w:tmpl w:val="EA2C3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D4"/>
    <w:rsid w:val="000663D8"/>
    <w:rsid w:val="000F3604"/>
    <w:rsid w:val="00250108"/>
    <w:rsid w:val="00283244"/>
    <w:rsid w:val="0041049A"/>
    <w:rsid w:val="00445B9D"/>
    <w:rsid w:val="00447B4A"/>
    <w:rsid w:val="004539F9"/>
    <w:rsid w:val="00466AC6"/>
    <w:rsid w:val="005A3E2E"/>
    <w:rsid w:val="005C116A"/>
    <w:rsid w:val="005D104B"/>
    <w:rsid w:val="007D09D4"/>
    <w:rsid w:val="007D2A98"/>
    <w:rsid w:val="00807A85"/>
    <w:rsid w:val="00810311"/>
    <w:rsid w:val="0082053C"/>
    <w:rsid w:val="00876550"/>
    <w:rsid w:val="009873CB"/>
    <w:rsid w:val="009A423E"/>
    <w:rsid w:val="009F21D6"/>
    <w:rsid w:val="00A013AB"/>
    <w:rsid w:val="00A03720"/>
    <w:rsid w:val="00A86134"/>
    <w:rsid w:val="00A93724"/>
    <w:rsid w:val="00B4367E"/>
    <w:rsid w:val="00BD26DD"/>
    <w:rsid w:val="00C17FB0"/>
    <w:rsid w:val="00C6372D"/>
    <w:rsid w:val="00CE6B9B"/>
    <w:rsid w:val="00D50B11"/>
    <w:rsid w:val="00D92E70"/>
    <w:rsid w:val="00E54BF1"/>
    <w:rsid w:val="00E73F2E"/>
    <w:rsid w:val="00EF7D51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423E"/>
    <w:pPr>
      <w:pageBreakBefore/>
      <w:spacing w:before="240" w:after="240" w:line="360" w:lineRule="auto"/>
      <w:jc w:val="both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9D4"/>
    <w:pPr>
      <w:ind w:left="720"/>
      <w:contextualSpacing/>
    </w:pPr>
  </w:style>
  <w:style w:type="paragraph" w:styleId="a4">
    <w:name w:val="No Spacing"/>
    <w:link w:val="a5"/>
    <w:uiPriority w:val="99"/>
    <w:qFormat/>
    <w:rsid w:val="000663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0663D8"/>
    <w:rPr>
      <w:rFonts w:ascii="Calibri" w:eastAsia="Times New Roman" w:hAnsi="Calibri" w:cs="Times New Roman"/>
    </w:rPr>
  </w:style>
  <w:style w:type="character" w:customStyle="1" w:styleId="12">
    <w:name w:val="Заголовок №1 (2)_"/>
    <w:link w:val="120"/>
    <w:uiPriority w:val="99"/>
    <w:locked/>
    <w:rsid w:val="000663D8"/>
    <w:rPr>
      <w:rFonts w:ascii="Times New Roman" w:hAnsi="Times New Roman"/>
      <w:b/>
      <w:sz w:val="28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0663D8"/>
    <w:pPr>
      <w:widowControl w:val="0"/>
      <w:shd w:val="clear" w:color="auto" w:fill="FFFFFF"/>
      <w:spacing w:after="0" w:line="370" w:lineRule="exact"/>
      <w:ind w:firstLine="440"/>
      <w:jc w:val="both"/>
      <w:outlineLvl w:val="0"/>
    </w:pPr>
    <w:rPr>
      <w:rFonts w:ascii="Times New Roman" w:hAnsi="Times New Roman"/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6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3D8"/>
    <w:rPr>
      <w:rFonts w:ascii="Tahoma" w:hAnsi="Tahoma" w:cs="Tahoma"/>
      <w:sz w:val="16"/>
      <w:szCs w:val="16"/>
    </w:rPr>
  </w:style>
  <w:style w:type="character" w:customStyle="1" w:styleId="i">
    <w:name w:val="i"/>
    <w:basedOn w:val="a0"/>
    <w:rsid w:val="00466AC6"/>
  </w:style>
  <w:style w:type="character" w:customStyle="1" w:styleId="nowrap">
    <w:name w:val="nowrap"/>
    <w:basedOn w:val="a0"/>
    <w:rsid w:val="00466AC6"/>
  </w:style>
  <w:style w:type="character" w:styleId="a8">
    <w:name w:val="Hyperlink"/>
    <w:basedOn w:val="a0"/>
    <w:uiPriority w:val="99"/>
    <w:semiHidden/>
    <w:unhideWhenUsed/>
    <w:rsid w:val="00466AC6"/>
    <w:rPr>
      <w:color w:val="0000FF"/>
      <w:u w:val="single"/>
    </w:rPr>
  </w:style>
  <w:style w:type="character" w:customStyle="1" w:styleId="WW8Num1z1">
    <w:name w:val="WW8Num1z1"/>
    <w:rsid w:val="00C17FB0"/>
    <w:rPr>
      <w:rFonts w:ascii="Times New Roman" w:hAnsi="Times New Roman" w:cs="Times New Roman"/>
      <w:b/>
      <w:bCs/>
      <w:i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A423E"/>
    <w:rPr>
      <w:rFonts w:ascii="Times New Roman" w:hAnsi="Times New Roman" w:cs="Times New Roman"/>
      <w:b/>
      <w:sz w:val="28"/>
      <w:szCs w:val="28"/>
    </w:rPr>
  </w:style>
  <w:style w:type="character" w:styleId="a9">
    <w:name w:val="footnote reference"/>
    <w:basedOn w:val="a0"/>
    <w:uiPriority w:val="99"/>
    <w:unhideWhenUsed/>
    <w:rsid w:val="00283244"/>
    <w:rPr>
      <w:vertAlign w:val="superscript"/>
    </w:rPr>
  </w:style>
  <w:style w:type="paragraph" w:styleId="aa">
    <w:name w:val="footnote text"/>
    <w:aliases w:val="Style 7, Знак,Знак"/>
    <w:basedOn w:val="a"/>
    <w:link w:val="ab"/>
    <w:uiPriority w:val="99"/>
    <w:unhideWhenUsed/>
    <w:rsid w:val="00D50B1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aliases w:val="Style 7 Знак, Знак Знак,Знак Знак"/>
    <w:basedOn w:val="a0"/>
    <w:link w:val="aa"/>
    <w:uiPriority w:val="99"/>
    <w:rsid w:val="00D50B11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F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1CC1"/>
  </w:style>
  <w:style w:type="paragraph" w:styleId="ae">
    <w:name w:val="footer"/>
    <w:basedOn w:val="a"/>
    <w:link w:val="af"/>
    <w:uiPriority w:val="99"/>
    <w:unhideWhenUsed/>
    <w:rsid w:val="00FF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1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423E"/>
    <w:pPr>
      <w:pageBreakBefore/>
      <w:spacing w:before="240" w:after="240" w:line="360" w:lineRule="auto"/>
      <w:jc w:val="both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9D4"/>
    <w:pPr>
      <w:ind w:left="720"/>
      <w:contextualSpacing/>
    </w:pPr>
  </w:style>
  <w:style w:type="paragraph" w:styleId="a4">
    <w:name w:val="No Spacing"/>
    <w:link w:val="a5"/>
    <w:uiPriority w:val="99"/>
    <w:qFormat/>
    <w:rsid w:val="000663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0663D8"/>
    <w:rPr>
      <w:rFonts w:ascii="Calibri" w:eastAsia="Times New Roman" w:hAnsi="Calibri" w:cs="Times New Roman"/>
    </w:rPr>
  </w:style>
  <w:style w:type="character" w:customStyle="1" w:styleId="12">
    <w:name w:val="Заголовок №1 (2)_"/>
    <w:link w:val="120"/>
    <w:uiPriority w:val="99"/>
    <w:locked/>
    <w:rsid w:val="000663D8"/>
    <w:rPr>
      <w:rFonts w:ascii="Times New Roman" w:hAnsi="Times New Roman"/>
      <w:b/>
      <w:sz w:val="28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0663D8"/>
    <w:pPr>
      <w:widowControl w:val="0"/>
      <w:shd w:val="clear" w:color="auto" w:fill="FFFFFF"/>
      <w:spacing w:after="0" w:line="370" w:lineRule="exact"/>
      <w:ind w:firstLine="440"/>
      <w:jc w:val="both"/>
      <w:outlineLvl w:val="0"/>
    </w:pPr>
    <w:rPr>
      <w:rFonts w:ascii="Times New Roman" w:hAnsi="Times New Roman"/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6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3D8"/>
    <w:rPr>
      <w:rFonts w:ascii="Tahoma" w:hAnsi="Tahoma" w:cs="Tahoma"/>
      <w:sz w:val="16"/>
      <w:szCs w:val="16"/>
    </w:rPr>
  </w:style>
  <w:style w:type="character" w:customStyle="1" w:styleId="i">
    <w:name w:val="i"/>
    <w:basedOn w:val="a0"/>
    <w:rsid w:val="00466AC6"/>
  </w:style>
  <w:style w:type="character" w:customStyle="1" w:styleId="nowrap">
    <w:name w:val="nowrap"/>
    <w:basedOn w:val="a0"/>
    <w:rsid w:val="00466AC6"/>
  </w:style>
  <w:style w:type="character" w:styleId="a8">
    <w:name w:val="Hyperlink"/>
    <w:basedOn w:val="a0"/>
    <w:uiPriority w:val="99"/>
    <w:semiHidden/>
    <w:unhideWhenUsed/>
    <w:rsid w:val="00466AC6"/>
    <w:rPr>
      <w:color w:val="0000FF"/>
      <w:u w:val="single"/>
    </w:rPr>
  </w:style>
  <w:style w:type="character" w:customStyle="1" w:styleId="WW8Num1z1">
    <w:name w:val="WW8Num1z1"/>
    <w:rsid w:val="00C17FB0"/>
    <w:rPr>
      <w:rFonts w:ascii="Times New Roman" w:hAnsi="Times New Roman" w:cs="Times New Roman"/>
      <w:b/>
      <w:bCs/>
      <w:i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A423E"/>
    <w:rPr>
      <w:rFonts w:ascii="Times New Roman" w:hAnsi="Times New Roman" w:cs="Times New Roman"/>
      <w:b/>
      <w:sz w:val="28"/>
      <w:szCs w:val="28"/>
    </w:rPr>
  </w:style>
  <w:style w:type="character" w:styleId="a9">
    <w:name w:val="footnote reference"/>
    <w:basedOn w:val="a0"/>
    <w:uiPriority w:val="99"/>
    <w:unhideWhenUsed/>
    <w:rsid w:val="00283244"/>
    <w:rPr>
      <w:vertAlign w:val="superscript"/>
    </w:rPr>
  </w:style>
  <w:style w:type="paragraph" w:styleId="aa">
    <w:name w:val="footnote text"/>
    <w:aliases w:val="Style 7, Знак,Знак"/>
    <w:basedOn w:val="a"/>
    <w:link w:val="ab"/>
    <w:uiPriority w:val="99"/>
    <w:unhideWhenUsed/>
    <w:rsid w:val="00D50B1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aliases w:val="Style 7 Знак, Знак Знак,Знак Знак"/>
    <w:basedOn w:val="a0"/>
    <w:link w:val="aa"/>
    <w:uiPriority w:val="99"/>
    <w:rsid w:val="00D50B11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F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1CC1"/>
  </w:style>
  <w:style w:type="paragraph" w:styleId="ae">
    <w:name w:val="footer"/>
    <w:basedOn w:val="a"/>
    <w:link w:val="af"/>
    <w:uiPriority w:val="99"/>
    <w:unhideWhenUsed/>
    <w:rsid w:val="00FF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se.ru/org/persons/12436116" TargetMode="External"/><Relationship Id="rId18" Type="http://schemas.openxmlformats.org/officeDocument/2006/relationships/hyperlink" Target="https://publications.hse.ru/view/18008120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u.spb.ru/images/centres/ENERPO_RC/Reports/2017-07-03_Russian_Energy_Efficiency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ublications.hse.ru/view/209539496" TargetMode="External"/><Relationship Id="rId17" Type="http://schemas.openxmlformats.org/officeDocument/2006/relationships/hyperlink" Target="https://publications.hse.ru/view/222903099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hse.ru/en/org/persons/12436116" TargetMode="External"/><Relationship Id="rId20" Type="http://schemas.openxmlformats.org/officeDocument/2006/relationships/hyperlink" Target="https://publications.hse.ru/view/1581417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se.ru/org/persons/12436116" TargetMode="External"/><Relationship Id="rId24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publications.hse.ru/view/223549762" TargetMode="External"/><Relationship Id="rId23" Type="http://schemas.openxmlformats.org/officeDocument/2006/relationships/chart" Target="charts/chart2.xml"/><Relationship Id="rId10" Type="http://schemas.openxmlformats.org/officeDocument/2006/relationships/hyperlink" Target="https://publications.hse.ru/view/272151750" TargetMode="External"/><Relationship Id="rId19" Type="http://schemas.openxmlformats.org/officeDocument/2006/relationships/hyperlink" Target="https://www.hse.ru/org/persons/1243611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ublications.hse.ru/view/210886786" TargetMode="External"/><Relationship Id="rId22" Type="http://schemas.openxmlformats.org/officeDocument/2006/relationships/chart" Target="charts/chart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Лист2!$A$38</c:f>
              <c:strCache>
                <c:ptCount val="1"/>
                <c:pt idx="0">
                  <c:v>Выявленая цена на углерод, руб. за т СО2</c:v>
                </c:pt>
              </c:strCache>
            </c:strRef>
          </c:tx>
          <c:invertIfNegative val="0"/>
          <c:cat>
            <c:numRef>
              <c:f>Лист2!$B$33:$F$33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Лист2!$B$38:$F$38</c:f>
              <c:numCache>
                <c:formatCode>0</c:formatCode>
                <c:ptCount val="5"/>
                <c:pt idx="0">
                  <c:v>6838.6708792476757</c:v>
                </c:pt>
                <c:pt idx="1">
                  <c:v>7358.7280195338153</c:v>
                </c:pt>
                <c:pt idx="2">
                  <c:v>7801.9578835455268</c:v>
                </c:pt>
                <c:pt idx="3">
                  <c:v>8773.7285348144287</c:v>
                </c:pt>
                <c:pt idx="4">
                  <c:v>8205.1824449537089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49-4CB0-B3B4-07F36D0529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593664"/>
        <c:axId val="316595200"/>
      </c:barChart>
      <c:lineChart>
        <c:grouping val="standard"/>
        <c:varyColors val="0"/>
        <c:ser>
          <c:idx val="1"/>
          <c:order val="1"/>
          <c:tx>
            <c:strRef>
              <c:f>Лист2!$A$40</c:f>
              <c:strCache>
                <c:ptCount val="1"/>
                <c:pt idx="0">
                  <c:v>Выбросы, млн т СО2</c:v>
                </c:pt>
              </c:strCache>
            </c:strRef>
          </c:tx>
          <c:marker>
            <c:symbol val="none"/>
          </c:marker>
          <c:cat>
            <c:numRef>
              <c:f>Лист2!$B$33:$F$33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Лист2!$B$40:$F$40</c:f>
              <c:numCache>
                <c:formatCode>General</c:formatCode>
                <c:ptCount val="5"/>
                <c:pt idx="0">
                  <c:v>1551</c:v>
                </c:pt>
                <c:pt idx="1">
                  <c:v>1513.8</c:v>
                </c:pt>
                <c:pt idx="2">
                  <c:v>1487.1</c:v>
                </c:pt>
                <c:pt idx="3">
                  <c:v>1466.3</c:v>
                </c:pt>
                <c:pt idx="4">
                  <c:v>1438.6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249-4CB0-B3B4-07F36D0529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7004032"/>
        <c:axId val="317002496"/>
      </c:lineChart>
      <c:catAx>
        <c:axId val="31659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6595200"/>
        <c:crosses val="autoZero"/>
        <c:auto val="1"/>
        <c:lblAlgn val="ctr"/>
        <c:lblOffset val="100"/>
        <c:noMultiLvlLbl val="0"/>
      </c:catAx>
      <c:valAx>
        <c:axId val="31659520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316593664"/>
        <c:crosses val="autoZero"/>
        <c:crossBetween val="between"/>
      </c:valAx>
      <c:valAx>
        <c:axId val="317002496"/>
        <c:scaling>
          <c:orientation val="minMax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crossAx val="317004032"/>
        <c:crosses val="max"/>
        <c:crossBetween val="between"/>
      </c:valAx>
      <c:catAx>
        <c:axId val="3170040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17002496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Лист2!$A$34</c:f>
              <c:strCache>
                <c:ptCount val="1"/>
                <c:pt idx="0">
                  <c:v>Нефть</c:v>
                </c:pt>
              </c:strCache>
            </c:strRef>
          </c:tx>
          <c:invertIfNegative val="0"/>
          <c:cat>
            <c:numRef>
              <c:f>Лист2!$B$33:$F$33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Лист2!$B$34:$F$34</c:f>
              <c:numCache>
                <c:formatCode>0</c:formatCode>
                <c:ptCount val="5"/>
                <c:pt idx="0">
                  <c:v>6503.8121378469041</c:v>
                </c:pt>
                <c:pt idx="1">
                  <c:v>6950.8092668993968</c:v>
                </c:pt>
                <c:pt idx="2">
                  <c:v>7329.9613210354055</c:v>
                </c:pt>
                <c:pt idx="3">
                  <c:v>8204.8558421851285</c:v>
                </c:pt>
                <c:pt idx="4">
                  <c:v>7562.4798191798518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E7-49A9-8C71-55CD59B268CE}"/>
            </c:ext>
          </c:extLst>
        </c:ser>
        <c:ser>
          <c:idx val="1"/>
          <c:order val="1"/>
          <c:tx>
            <c:strRef>
              <c:f>Лист2!$A$35</c:f>
              <c:strCache>
                <c:ptCount val="1"/>
                <c:pt idx="0">
                  <c:v>Природный газ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numRef>
              <c:f>Лист2!$B$33:$F$33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Лист2!$B$35:$F$35</c:f>
              <c:numCache>
                <c:formatCode>0</c:formatCode>
                <c:ptCount val="5"/>
                <c:pt idx="0">
                  <c:v>326.01268911664221</c:v>
                </c:pt>
                <c:pt idx="1">
                  <c:v>398.54983409118836</c:v>
                </c:pt>
                <c:pt idx="2">
                  <c:v>462.56817055032229</c:v>
                </c:pt>
                <c:pt idx="3">
                  <c:v>557.8782336033446</c:v>
                </c:pt>
                <c:pt idx="4">
                  <c:v>630.76923076923072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E7-49A9-8C71-55CD59B268CE}"/>
            </c:ext>
          </c:extLst>
        </c:ser>
        <c:ser>
          <c:idx val="2"/>
          <c:order val="2"/>
          <c:tx>
            <c:strRef>
              <c:f>Лист2!$A$36</c:f>
              <c:strCache>
                <c:ptCount val="1"/>
                <c:pt idx="0">
                  <c:v>Уголь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numRef>
              <c:f>Лист2!$B$33:$F$33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Лист2!$B$36:$F$36</c:f>
              <c:numCache>
                <c:formatCode>0</c:formatCode>
                <c:ptCount val="5"/>
                <c:pt idx="0">
                  <c:v>8.8460522841299198</c:v>
                </c:pt>
                <c:pt idx="1">
                  <c:v>9.3689185432304694</c:v>
                </c:pt>
                <c:pt idx="2">
                  <c:v>9.4283919597989954</c:v>
                </c:pt>
                <c:pt idx="3">
                  <c:v>10.99445902595509</c:v>
                </c:pt>
                <c:pt idx="4">
                  <c:v>11.933395004625346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EE7-49A9-8C71-55CD59B268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7170432"/>
        <c:axId val="317171968"/>
      </c:barChart>
      <c:catAx>
        <c:axId val="31717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17171968"/>
        <c:crosses val="autoZero"/>
        <c:auto val="1"/>
        <c:lblAlgn val="ctr"/>
        <c:lblOffset val="100"/>
        <c:noMultiLvlLbl val="0"/>
      </c:catAx>
      <c:valAx>
        <c:axId val="317171968"/>
        <c:scaling>
          <c:logBase val="10"/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руб. за тонну</a:t>
                </a:r>
              </a:p>
            </c:rich>
          </c:tx>
          <c:layout>
            <c:manualLayout>
              <c:xMode val="edge"/>
              <c:yMode val="edge"/>
              <c:x val="0.12222222222222222"/>
              <c:y val="0.22975539515893847"/>
            </c:manualLayout>
          </c:layout>
          <c:overlay val="0"/>
        </c:title>
        <c:numFmt formatCode="0" sourceLinked="1"/>
        <c:majorTickMark val="none"/>
        <c:minorTickMark val="none"/>
        <c:tickLblPos val="nextTo"/>
        <c:crossAx val="3171704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8D088-F3A7-4A4D-938F-98FD1E51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6261</Words>
  <Characters>35691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Stepanov</dc:creator>
  <cp:lastModifiedBy>Ilya Stepanov</cp:lastModifiedBy>
  <cp:revision>3</cp:revision>
  <dcterms:created xsi:type="dcterms:W3CDTF">2019-10-15T22:06:00Z</dcterms:created>
  <dcterms:modified xsi:type="dcterms:W3CDTF">2019-10-15T22:14:00Z</dcterms:modified>
</cp:coreProperties>
</file>