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Утверждаю</w:t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Проректор НИУ ВШЭ</w:t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С.Ю. Рощин</w:t>
      </w:r>
    </w:p>
    <w:p>
      <w:pPr>
        <w:pStyle w:val="style0"/>
        <w:spacing w:after="0" w:before="0" w:line="360" w:lineRule="auto"/>
        <w:ind w:hanging="0" w:left="4678" w:right="0"/>
        <w:jc w:val="right"/>
      </w:pPr>
      <w:r>
        <w:rPr>
          <w:rFonts w:ascii="Times New Roman" w:cs="Times New Roman" w:eastAsia="Calibri" w:hAnsi="Times New Roman"/>
          <w:bCs/>
          <w:iCs/>
          <w:sz w:val="24"/>
          <w:szCs w:val="24"/>
        </w:rPr>
        <w:t>______________________</w:t>
      </w:r>
    </w:p>
    <w:p>
      <w:pPr>
        <w:pStyle w:val="style0"/>
        <w:spacing w:after="0" w:before="0" w:line="360" w:lineRule="auto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</w:rPr>
        <w:t>«28» октября 2016 г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/>
      </w:r>
    </w:p>
    <w:p>
      <w:pPr>
        <w:pStyle w:val="style0"/>
        <w:spacing w:after="0" w:before="0" w:line="100" w:lineRule="atLeast"/>
        <w:ind w:hanging="0" w:left="4678" w:right="0"/>
        <w:jc w:val="right"/>
      </w:pPr>
      <w:r>
        <w:rPr/>
      </w:r>
    </w:p>
    <w:p>
      <w:pPr>
        <w:pStyle w:val="style0"/>
        <w:spacing w:after="0" w:before="0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Согласовано</w:t>
      </w:r>
    </w:p>
    <w:p>
      <w:pPr>
        <w:pStyle w:val="style0"/>
        <w:spacing w:after="0" w:before="0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Академический совет </w:t>
      </w:r>
    </w:p>
    <w:p>
      <w:pPr>
        <w:pStyle w:val="style0"/>
        <w:spacing w:after="0" w:before="0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Аспирантской школы по математике</w:t>
      </w:r>
    </w:p>
    <w:p>
      <w:pPr>
        <w:pStyle w:val="style0"/>
        <w:spacing w:after="0" w:before="0"/>
        <w:ind w:hanging="0" w:left="4678" w:right="0"/>
        <w:jc w:val="right"/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Протокол №3 от </w:t>
      </w:r>
      <w:r>
        <w:rPr>
          <w:rFonts w:ascii="Times New Roman" w:cs="Times New Roman" w:hAnsi="Times New Roman"/>
          <w:sz w:val="24"/>
          <w:szCs w:val="24"/>
        </w:rPr>
        <w:t>28 октября 2016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  <w:shd w:fill="FFFFFF" w:val="clear"/>
        </w:rPr>
        <w:t>Положение о практиках аспирантов Аспирантской школы по математике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  <w:shd w:fill="FFFFFF" w:val="clear"/>
        </w:rPr>
        <w:t>I. Общие положения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1.1. Настоящее Положение устанавливает порядок организации и проведения практик аспирантов Аспирантской школы по математике, обучающихся по программам подготовки научно-педагогических кадров в аспирантуре Национального исслед</w:t>
      </w:r>
      <w:r>
        <w:rPr>
          <w:rFonts w:ascii="Times New Roman" w:cs="Times New Roman" w:hAnsi="Times New Roman"/>
          <w:sz w:val="24"/>
          <w:szCs w:val="24"/>
        </w:rPr>
        <w:t>овательского университета «Высшая школа экономики» (далее – НИУ ВШЭ).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II. Цель и задачи практик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2.3. ООП  предусмотрены следующие типы производственной практики: научно-исследовательская практика и научно педагогическая практика.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cs="Times New Roman" w:hAnsi="Times New Roman"/>
          <w:b/>
          <w:sz w:val="24"/>
          <w:szCs w:val="24"/>
        </w:rPr>
        <w:t xml:space="preserve">. Научно-исследовательская практика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3.2.  Задачи научно-исследовательской  практики:</w:t>
      </w:r>
    </w:p>
    <w:p>
      <w:pPr>
        <w:pStyle w:val="style51"/>
        <w:numPr>
          <w:ilvl w:val="0"/>
          <w:numId w:val="4"/>
        </w:numPr>
      </w:pPr>
      <w:r>
        <w:rPr>
          <w:rFonts w:ascii="Times New Roman" w:cs="Times New Roman" w:hAnsi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>
      <w:pPr>
        <w:pStyle w:val="style51"/>
        <w:numPr>
          <w:ilvl w:val="0"/>
          <w:numId w:val="4"/>
        </w:numPr>
      </w:pPr>
      <w:r>
        <w:rPr>
          <w:rFonts w:ascii="Times New Roman" w:cs="Times New Roman" w:hAnsi="Times New Roman"/>
          <w:sz w:val="24"/>
          <w:szCs w:val="24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>
      <w:pPr>
        <w:pStyle w:val="style51"/>
        <w:numPr>
          <w:ilvl w:val="0"/>
          <w:numId w:val="4"/>
        </w:numPr>
      </w:pPr>
      <w:r>
        <w:rPr>
          <w:rFonts w:ascii="Times New Roman" w:cs="Times New Roman" w:hAnsi="Times New Roman"/>
          <w:sz w:val="24"/>
          <w:szCs w:val="24"/>
        </w:rPr>
        <w:t>презентации исследовательских результатов,  ведение публичной защиты собственных научных положений.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3.3. Основными формами научно-исследовательской практики являются:</w:t>
      </w:r>
    </w:p>
    <w:p>
      <w:pPr>
        <w:pStyle w:val="style51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Презентация результатов научного исследования на научных семинарах и конференциях;</w:t>
      </w:r>
    </w:p>
    <w:p>
      <w:pPr>
        <w:pStyle w:val="style51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Оформление результатов исследования в форме научного доклада, текста научной публикации, презентаций, текста диссертации и других научных текстов, включая подготовительные этапы, такие как сбор данных и/или изучение научной литературы.</w:t>
      </w:r>
    </w:p>
    <w:p>
      <w:pPr>
        <w:pStyle w:val="style51"/>
        <w:numPr>
          <w:ilvl w:val="0"/>
          <w:numId w:val="5"/>
        </w:numPr>
      </w:pPr>
      <w:r>
        <w:rPr>
          <w:rFonts w:ascii="Times New Roman" w:cs="Times New Roman" w:hAnsi="Times New Roman"/>
          <w:sz w:val="24"/>
          <w:szCs w:val="24"/>
        </w:rPr>
        <w:t>Иные формы научно-исследовательской практики, установленные Аспирантской школой по математике в зависимости от специфики программы аспирантуры и тематики научно-квалификационной работы (диссертации), в частности участие в организации научных конференций и семинаров.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3.4.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3.5.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cs="Times New Roman" w:hAnsi="Times New Roman"/>
          <w:b/>
          <w:sz w:val="24"/>
          <w:szCs w:val="24"/>
        </w:rPr>
        <w:t>. Научно-педагогическая практика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4.1. Научно-педагогическая практика аспирантов является обязательной педагогической практикой ООП, направленной на формирование  у аспирантов компетенций преподавателя высшей школы.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4.2. Задачами научно-педагогической практики являются:</w:t>
      </w:r>
    </w:p>
    <w:p>
      <w:pPr>
        <w:pStyle w:val="style51"/>
        <w:numPr>
          <w:ilvl w:val="0"/>
          <w:numId w:val="2"/>
        </w:numPr>
      </w:pPr>
      <w:r>
        <w:rPr>
          <w:rFonts w:ascii="Times New Roman" w:cs="Times New Roman" w:hAnsi="Times New Roman"/>
          <w:sz w:val="24"/>
          <w:szCs w:val="24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>
      <w:pPr>
        <w:pStyle w:val="style51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>
      <w:pPr>
        <w:pStyle w:val="style51"/>
        <w:numPr>
          <w:ilvl w:val="0"/>
          <w:numId w:val="1"/>
        </w:numPr>
      </w:pPr>
      <w:r>
        <w:rPr>
          <w:rFonts w:ascii="Times New Roman" w:cs="Times New Roman" w:hAnsi="Times New Roman"/>
          <w:sz w:val="24"/>
          <w:szCs w:val="24"/>
        </w:rP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4.3. Объем, структура, содержание педагогической практики определяется учебным планом.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4.5. Научно-педагогическая практика аспирантов может проходить в различных формах преподавательской деятельности:</w:t>
      </w:r>
    </w:p>
    <w:p>
      <w:pPr>
        <w:pStyle w:val="style51"/>
        <w:numPr>
          <w:ilvl w:val="0"/>
          <w:numId w:val="3"/>
        </w:numPr>
        <w:tabs>
          <w:tab w:leader="none" w:pos="1275" w:val="left"/>
          <w:tab w:leader="none" w:pos="1842" w:val="left"/>
          <w:tab w:leader="none" w:pos="2409" w:val="left"/>
          <w:tab w:leader="none" w:pos="2694" w:val="left"/>
        </w:tabs>
        <w:ind w:hanging="11" w:left="567" w:right="0"/>
      </w:pPr>
      <w:r>
        <w:rPr>
          <w:rFonts w:ascii="Times New Roman" w:cs="Times New Roman" w:hAnsi="Times New Roman"/>
          <w:sz w:val="24"/>
          <w:szCs w:val="24"/>
        </w:rP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>
      <w:pPr>
        <w:pStyle w:val="style0"/>
        <w:ind w:hanging="11" w:left="567" w:right="0"/>
      </w:pPr>
      <w:r>
        <w:rPr>
          <w:rFonts w:ascii="Times New Roman" w:cs="Times New Roman" w:hAnsi="Times New Roman"/>
          <w:sz w:val="24"/>
          <w:szCs w:val="24"/>
        </w:rPr>
        <w:t xml:space="preserve">•  </w:t>
      </w:r>
      <w:r>
        <w:rPr>
          <w:rFonts w:ascii="Times New Roman" w:cs="Times New Roman" w:hAnsi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>
      <w:pPr>
        <w:pStyle w:val="style51"/>
        <w:numPr>
          <w:ilvl w:val="0"/>
          <w:numId w:val="3"/>
        </w:numPr>
        <w:tabs>
          <w:tab w:leader="none" w:pos="1275" w:val="left"/>
          <w:tab w:leader="none" w:pos="1842" w:val="left"/>
          <w:tab w:leader="none" w:pos="2409" w:val="left"/>
          <w:tab w:leader="none" w:pos="2552" w:val="left"/>
        </w:tabs>
        <w:ind w:hanging="11" w:left="567" w:right="0"/>
      </w:pPr>
      <w:r>
        <w:rPr>
          <w:rFonts w:ascii="Times New Roman" w:cs="Times New Roman" w:hAnsi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>
      <w:pPr>
        <w:pStyle w:val="style0"/>
        <w:ind w:hanging="11" w:left="567" w:right="0"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проверка экзаменов, контрольных и домашних работ, прием задач;</w:t>
      </w:r>
    </w:p>
    <w:p>
      <w:pPr>
        <w:pStyle w:val="style0"/>
        <w:ind w:hanging="11" w:left="567" w:right="0"/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другие формы педагогической деятельности, определенные Аспирантской школой и закрепленные в учебном плане.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4.6. Научно-педагогическая практика проводится в образовательных и  научных подразделениях НИУ ВШЭ.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4.8. В ходе прохождения практики аспиранты подчиняются правилам внутреннего распорядка и распоряжениям администрации той организации, в которой проводится практика. В случае невыполнения требований аспирант может быть отстранен от  прохождения педагогической практики.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cs="Times New Roman" w:hAnsi="Times New Roman"/>
          <w:b/>
          <w:sz w:val="24"/>
          <w:szCs w:val="24"/>
        </w:rPr>
        <w:t xml:space="preserve">.  План и отчетная документация по практике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5.1. Программа практик аспиранта на учебный год составляется  в разделе «Рабочий план 1/2/3/4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5.4. Отчет  о практике оформляется аспирантом по итогам  всего года обучения путем заполнения аттестационного листа.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5.6. К </w:t>
      </w:r>
      <w:bookmarkStart w:id="1" w:name="__DdeLink__429_543076711"/>
      <w:r>
        <w:rPr>
          <w:rFonts w:ascii="Times New Roman" w:cs="Times New Roman" w:hAnsi="Times New Roman"/>
          <w:sz w:val="24"/>
          <w:szCs w:val="24"/>
        </w:rPr>
        <w:t>отчету (аттестационному листу) могут прилагаться</w:t>
      </w:r>
      <w:bookmarkEnd w:id="1"/>
      <w:r>
        <w:rPr>
          <w:rFonts w:ascii="Times New Roman" w:cs="Times New Roman" w:hAnsi="Times New Roman"/>
          <w:sz w:val="24"/>
          <w:szCs w:val="24"/>
        </w:rPr>
        <w:t xml:space="preserve"> следующие документы:</w:t>
      </w:r>
    </w:p>
    <w:tbl>
      <w:tblPr>
        <w:jc w:val="left"/>
        <w:tblInd w:type="dxa" w:w="-236"/>
        <w:tblBorders/>
      </w:tblPr>
      <w:tblGrid>
        <w:gridCol w:w="2925"/>
        <w:gridCol w:w="6566"/>
      </w:tblGrid>
      <w:tr>
        <w:trPr>
          <w:cantSplit w:val="false"/>
        </w:trPr>
        <w:tc>
          <w:tcPr>
            <w:tcW w:type="dxa" w:w="2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64" w:lineRule="auto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type="dxa" w:w="6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64" w:lineRule="auto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>
        <w:trPr>
          <w:trHeight w:hRule="atLeast" w:val="1479"/>
          <w:cantSplit w:val="false"/>
        </w:trPr>
        <w:tc>
          <w:tcPr>
            <w:tcW w:type="dxa" w:w="2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64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type="dxa" w:w="6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Программа конференции, в которой участвовал аспирант;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Опубликованные тезисы доклада  конференции, в которой участвовал аспирант;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Список участников конференции, в которой участвовал аспирант и прочие документы, свидетельствующие об участии в конференции.</w:t>
            </w:r>
          </w:p>
        </w:tc>
      </w:tr>
      <w:tr>
        <w:trPr>
          <w:cantSplit w:val="false"/>
        </w:trPr>
        <w:tc>
          <w:tcPr>
            <w:tcW w:type="dxa" w:w="2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64" w:lineRule="auto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Научно-педагогическая практика</w:t>
            </w:r>
          </w:p>
        </w:tc>
        <w:tc>
          <w:tcPr>
            <w:tcW w:type="dxa" w:w="65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Тексты лекций и/или планы лекций и/или семинарских занятий, составленные задачи и пр.</w:t>
            </w:r>
          </w:p>
          <w:p>
            <w:pPr>
              <w:pStyle w:val="style0"/>
              <w:spacing w:after="0" w:before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Иные документы, подтверждающие выполнение научно-педагогической практики.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5.7. Отчет о практиках согласовывается с научным руководителем и проходит обсуждение в Аспирантской школе в рамках аттестации.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5.10. 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rFonts w:ascii="Times New Roman" w:cs="Times New Roman" w:hAnsi="Times New Roman"/>
          <w:sz w:val="24"/>
          <w:szCs w:val="24"/>
        </w:rPr>
        <w:t>5.11.  Ликвидация академической задолженности  по практикам  производится установленным в НИУ ВШЭ порядком.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392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Calibri">
    <w:charset w:val="80"/>
    <w:family w:val="swiss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65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8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0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2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4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6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8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0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25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Calibri" w:eastAsia="Calibri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Courier New"/>
    </w:rPr>
  </w:style>
  <w:style w:styleId="style20" w:type="character">
    <w:name w:val="ListLabel 5"/>
    <w:next w:val="style20"/>
    <w:rPr>
      <w:rFonts w:cs="Wingdings"/>
    </w:rPr>
  </w:style>
  <w:style w:styleId="style21" w:type="character">
    <w:name w:val="ListLabel 6"/>
    <w:next w:val="style21"/>
    <w:rPr>
      <w:rFonts w:cs="Calibri"/>
    </w:rPr>
  </w:style>
  <w:style w:styleId="style22" w:type="character">
    <w:name w:val="Текст выноски Знак"/>
    <w:basedOn w:val="style15"/>
    <w:next w:val="style22"/>
    <w:rPr>
      <w:rFonts w:ascii="Tahoma" w:cs="Tahoma" w:hAnsi="Tahoma"/>
      <w:color w:val="00000A"/>
      <w:sz w:val="16"/>
      <w:szCs w:val="16"/>
    </w:rPr>
  </w:style>
  <w:style w:styleId="style23" w:type="character">
    <w:name w:val="ListLabel 7"/>
    <w:next w:val="style23"/>
    <w:rPr>
      <w:rFonts w:cs="Symbol"/>
    </w:rPr>
  </w:style>
  <w:style w:styleId="style24" w:type="character">
    <w:name w:val="ListLabel 8"/>
    <w:next w:val="style24"/>
    <w:rPr>
      <w:rFonts w:cs="Courier New"/>
    </w:rPr>
  </w:style>
  <w:style w:styleId="style25" w:type="character">
    <w:name w:val="ListLabel 9"/>
    <w:next w:val="style25"/>
    <w:rPr>
      <w:rFonts w:cs="Wingdings"/>
    </w:rPr>
  </w:style>
  <w:style w:styleId="style26" w:type="character">
    <w:name w:val="ListLabel 10"/>
    <w:next w:val="style26"/>
    <w:rPr>
      <w:rFonts w:cs="Calibri"/>
    </w:rPr>
  </w:style>
  <w:style w:styleId="style27" w:type="character">
    <w:name w:val="Текст примечания Знак"/>
    <w:basedOn w:val="style15"/>
    <w:next w:val="style27"/>
    <w:rPr>
      <w:rFonts w:ascii="Calibri" w:cs="Calibri" w:eastAsia="WenQuanYi Micro Hei" w:hAnsi="Calibri"/>
      <w:color w:val="00000A"/>
      <w:sz w:val="20"/>
      <w:szCs w:val="20"/>
      <w:lang w:eastAsia="en-US"/>
    </w:rPr>
  </w:style>
  <w:style w:styleId="style28" w:type="character">
    <w:name w:val="annotation reference"/>
    <w:basedOn w:val="style15"/>
    <w:next w:val="style28"/>
    <w:rPr>
      <w:sz w:val="16"/>
      <w:szCs w:val="16"/>
    </w:rPr>
  </w:style>
  <w:style w:styleId="style29" w:type="character">
    <w:name w:val="ListLabel 11"/>
    <w:next w:val="style29"/>
    <w:rPr>
      <w:rFonts w:cs="Symbol"/>
    </w:rPr>
  </w:style>
  <w:style w:styleId="style30" w:type="character">
    <w:name w:val="ListLabel 12"/>
    <w:next w:val="style30"/>
    <w:rPr>
      <w:rFonts w:cs="Courier New"/>
    </w:rPr>
  </w:style>
  <w:style w:styleId="style31" w:type="character">
    <w:name w:val="ListLabel 13"/>
    <w:next w:val="style31"/>
    <w:rPr>
      <w:rFonts w:cs="Wingdings"/>
    </w:rPr>
  </w:style>
  <w:style w:styleId="style32" w:type="character">
    <w:name w:val="ListLabel 14"/>
    <w:next w:val="style32"/>
    <w:rPr>
      <w:rFonts w:cs="Calibri"/>
    </w:rPr>
  </w:style>
  <w:style w:styleId="style33" w:type="character">
    <w:name w:val="ListLabel 15"/>
    <w:next w:val="style33"/>
    <w:rPr>
      <w:rFonts w:cs="Symbol"/>
    </w:rPr>
  </w:style>
  <w:style w:styleId="style34" w:type="character">
    <w:name w:val="ListLabel 16"/>
    <w:next w:val="style34"/>
    <w:rPr>
      <w:rFonts w:cs="Courier New"/>
    </w:rPr>
  </w:style>
  <w:style w:styleId="style35" w:type="character">
    <w:name w:val="ListLabel 17"/>
    <w:next w:val="style35"/>
    <w:rPr>
      <w:rFonts w:cs="Wingdings"/>
    </w:rPr>
  </w:style>
  <w:style w:styleId="style36" w:type="character">
    <w:name w:val="ListLabel 18"/>
    <w:next w:val="style36"/>
    <w:rPr>
      <w:rFonts w:cs="Calibri"/>
    </w:rPr>
  </w:style>
  <w:style w:styleId="style37" w:type="character">
    <w:name w:val="ListLabel 19"/>
    <w:next w:val="style37"/>
    <w:rPr>
      <w:rFonts w:cs="Symbol"/>
    </w:rPr>
  </w:style>
  <w:style w:styleId="style38" w:type="character">
    <w:name w:val="ListLabel 20"/>
    <w:next w:val="style38"/>
    <w:rPr>
      <w:rFonts w:cs="Courier New"/>
    </w:rPr>
  </w:style>
  <w:style w:styleId="style39" w:type="character">
    <w:name w:val="ListLabel 21"/>
    <w:next w:val="style39"/>
    <w:rPr>
      <w:rFonts w:cs="Wingdings"/>
    </w:rPr>
  </w:style>
  <w:style w:styleId="style40" w:type="character">
    <w:name w:val="ListLabel 22"/>
    <w:next w:val="style40"/>
    <w:rPr>
      <w:rFonts w:cs="Calibri"/>
    </w:rPr>
  </w:style>
  <w:style w:styleId="style41" w:type="paragraph">
    <w:name w:val="Heading"/>
    <w:basedOn w:val="style0"/>
    <w:next w:val="style42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42" w:type="paragraph">
    <w:name w:val="Text body"/>
    <w:basedOn w:val="style0"/>
    <w:next w:val="style42"/>
    <w:pPr>
      <w:spacing w:after="140" w:before="0" w:line="288" w:lineRule="auto"/>
    </w:pPr>
    <w:rPr/>
  </w:style>
  <w:style w:styleId="style43" w:type="paragraph">
    <w:name w:val="List"/>
    <w:basedOn w:val="style42"/>
    <w:next w:val="style43"/>
    <w:pPr/>
    <w:rPr>
      <w:rFonts w:cs="Mangal"/>
    </w:rPr>
  </w:style>
  <w:style w:styleId="style44" w:type="paragraph">
    <w:name w:val="Caption"/>
    <w:basedOn w:val="style0"/>
    <w:next w:val="style4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5" w:type="paragraph">
    <w:name w:val="Index"/>
    <w:basedOn w:val="style0"/>
    <w:next w:val="style45"/>
    <w:pPr>
      <w:suppressLineNumbers/>
    </w:pPr>
    <w:rPr>
      <w:rFonts w:cs="Lohit Hindi"/>
    </w:rPr>
  </w:style>
  <w:style w:styleId="style46" w:type="paragraph">
    <w:name w:val="caption"/>
    <w:basedOn w:val="style0"/>
    <w:next w:val="style4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47" w:type="paragraph">
    <w:name w:val="Заголовок"/>
    <w:basedOn w:val="style0"/>
    <w:next w:val="style47"/>
    <w:pPr>
      <w:keepNext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48" w:type="paragraph">
    <w:name w:val="Title"/>
    <w:basedOn w:val="style0"/>
    <w:next w:val="style49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49" w:type="paragraph">
    <w:name w:val="Subtitle"/>
    <w:basedOn w:val="style41"/>
    <w:next w:val="style42"/>
    <w:pPr>
      <w:jc w:val="center"/>
    </w:pPr>
    <w:rPr>
      <w:i/>
      <w:iCs/>
      <w:sz w:val="28"/>
      <w:szCs w:val="28"/>
    </w:rPr>
  </w:style>
  <w:style w:styleId="style50" w:type="paragraph">
    <w:name w:val="index heading"/>
    <w:basedOn w:val="style0"/>
    <w:next w:val="style50"/>
    <w:pPr>
      <w:suppressLineNumbers/>
    </w:pPr>
    <w:rPr>
      <w:rFonts w:cs="Mangal"/>
    </w:rPr>
  </w:style>
  <w:style w:styleId="style51" w:type="paragraph">
    <w:name w:val="List Paragraph"/>
    <w:basedOn w:val="style0"/>
    <w:next w:val="style51"/>
    <w:pPr>
      <w:ind w:hanging="0" w:left="720" w:right="0"/>
    </w:pPr>
    <w:rPr/>
  </w:style>
  <w:style w:styleId="style52" w:type="paragraph">
    <w:name w:val="Balloon Text"/>
    <w:basedOn w:val="style0"/>
    <w:next w:val="style5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53" w:type="paragraph">
    <w:name w:val="annotation text"/>
    <w:basedOn w:val="style0"/>
    <w:next w:val="style53"/>
    <w:pPr>
      <w:spacing w:line="100" w:lineRule="atLeast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2019-02-17T13:18:00.00Z</dcterms:created>
  <dc:creator>USER01</dc:creator>
  <dc:language>ru</dc:language>
  <cp:lastModifiedBy>Миловидова Ирина Александровна</cp:lastModifiedBy>
  <cp:lastPrinted>2017-11-23T12:41:00.00Z</cp:lastPrinted>
  <dcterms:modified xsi:type="dcterms:W3CDTF">2020-03-11T15:03:00.00Z</dcterms:modified>
  <cp:revision>4</cp:revision>
</cp:coreProperties>
</file>