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AE0E07">
        <w:rPr>
          <w:rFonts w:ascii="Times New Roman" w:hAnsi="Times New Roman" w:cs="Times New Roman"/>
          <w:sz w:val="24"/>
          <w:szCs w:val="24"/>
        </w:rPr>
        <w:t>аю</w:t>
      </w:r>
    </w:p>
    <w:p w:rsidR="00AE0E07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AE0E07">
        <w:rPr>
          <w:rFonts w:ascii="Times New Roman" w:hAnsi="Times New Roman" w:cs="Times New Roman"/>
          <w:sz w:val="24"/>
          <w:szCs w:val="24"/>
        </w:rPr>
        <w:t>НИУ ВШЭ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E71142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E6C6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Аспирантской школы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</w:p>
    <w:p w:rsidR="009E6C68" w:rsidRDefault="009E6C68" w:rsidP="009E6C6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D92766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7апрел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я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</w:t>
      </w:r>
      <w:r w:rsidR="000A0042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20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9E6C68" w:rsidRPr="003A079A" w:rsidRDefault="009E6C68" w:rsidP="009E6C6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D92766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4</w:t>
      </w:r>
      <w:r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67672C" w:rsidRPr="00084CD1" w:rsidRDefault="0067672C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6C68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D92766">
        <w:rPr>
          <w:rFonts w:ascii="Times New Roman" w:hAnsi="Times New Roman" w:cs="Times New Roman"/>
          <w:b/>
          <w:sz w:val="24"/>
          <w:szCs w:val="24"/>
        </w:rPr>
        <w:t>международным отношениям и зарубежным региональным исследованиям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</w:t>
      </w:r>
      <w:r w:rsidR="00D92766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</w:t>
      </w:r>
      <w:r w:rsidR="00621725">
        <w:rPr>
          <w:rFonts w:ascii="Times New Roman" w:hAnsi="Times New Roman" w:cs="Times New Roman"/>
          <w:sz w:val="24"/>
          <w:szCs w:val="24"/>
        </w:rPr>
        <w:t>–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</w:t>
      </w:r>
      <w:r w:rsidR="00D92766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4D7F4A" w:rsidRPr="004D7F4A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предоставляют соответствующие подтверждающие документы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621725">
        <w:rPr>
          <w:rFonts w:ascii="Times New Roman" w:hAnsi="Times New Roman" w:cs="Times New Roman"/>
          <w:sz w:val="24"/>
          <w:szCs w:val="24"/>
        </w:rPr>
        <w:t>–</w:t>
      </w:r>
      <w:r w:rsidR="00AA241D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621725">
        <w:rPr>
          <w:rFonts w:ascii="Times New Roman" w:hAnsi="Times New Roman" w:cs="Times New Roman"/>
          <w:sz w:val="24"/>
          <w:szCs w:val="24"/>
        </w:rPr>
        <w:t>.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D86452" w:rsidRPr="00D86452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621725">
        <w:rPr>
          <w:rFonts w:ascii="Times New Roman" w:hAnsi="Times New Roman" w:cs="Times New Roman"/>
          <w:sz w:val="24"/>
          <w:szCs w:val="24"/>
        </w:rPr>
        <w:t>аттестации.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36682C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67672C"/>
    <w:rsid w:val="00025FE1"/>
    <w:rsid w:val="00062108"/>
    <w:rsid w:val="00084CD1"/>
    <w:rsid w:val="000A0042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6682C"/>
    <w:rsid w:val="00372C99"/>
    <w:rsid w:val="00387C56"/>
    <w:rsid w:val="00395BAD"/>
    <w:rsid w:val="003A7AE3"/>
    <w:rsid w:val="0046659B"/>
    <w:rsid w:val="004700DA"/>
    <w:rsid w:val="004D7F4A"/>
    <w:rsid w:val="004F593D"/>
    <w:rsid w:val="00522261"/>
    <w:rsid w:val="005460C3"/>
    <w:rsid w:val="0056556E"/>
    <w:rsid w:val="00570FEA"/>
    <w:rsid w:val="005E210B"/>
    <w:rsid w:val="00621725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72BE7"/>
    <w:rsid w:val="00787ACC"/>
    <w:rsid w:val="007A5BFC"/>
    <w:rsid w:val="007E5B06"/>
    <w:rsid w:val="008E7E00"/>
    <w:rsid w:val="008F6A60"/>
    <w:rsid w:val="00924C90"/>
    <w:rsid w:val="0094126F"/>
    <w:rsid w:val="009A7E66"/>
    <w:rsid w:val="009E6C68"/>
    <w:rsid w:val="009F7361"/>
    <w:rsid w:val="00A377AE"/>
    <w:rsid w:val="00A8214E"/>
    <w:rsid w:val="00A86F7E"/>
    <w:rsid w:val="00AA241D"/>
    <w:rsid w:val="00AB37C7"/>
    <w:rsid w:val="00AC7B5A"/>
    <w:rsid w:val="00AE0E07"/>
    <w:rsid w:val="00AE3F48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6452"/>
    <w:rsid w:val="00D87BC9"/>
    <w:rsid w:val="00D92766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C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36682C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682C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3668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5</cp:revision>
  <cp:lastPrinted>2019-02-16T15:19:00Z</cp:lastPrinted>
  <dcterms:created xsi:type="dcterms:W3CDTF">2020-07-21T06:04:00Z</dcterms:created>
  <dcterms:modified xsi:type="dcterms:W3CDTF">2020-07-21T17:11:00Z</dcterms:modified>
</cp:coreProperties>
</file>