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39.06.01 Социологические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AF476D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AF476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9A2641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9A2641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AF476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Б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Савинская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4F0D67" w:rsidRPr="00C20C3F" w:rsidRDefault="004F0D67" w:rsidP="004F0D67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4F0D67" w:rsidRPr="0013743F" w:rsidRDefault="004F0D67" w:rsidP="004F0D67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Проректор </w:t>
      </w:r>
      <w:proofErr w:type="spell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С.Ю.</w:t>
      </w:r>
    </w:p>
    <w:p w:rsidR="004F0D67" w:rsidRPr="0013743F" w:rsidRDefault="004F0D67" w:rsidP="004F0D67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C20C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9A2641" w:rsidRDefault="009A2641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969"/>
        <w:gridCol w:w="142"/>
        <w:gridCol w:w="992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C20C3F" w:rsidRDefault="0013743F" w:rsidP="00C20C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4F0D6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4F0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4F0D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9A2641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91293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-го года обучения 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представление 1 опубликованной или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принятой в печать статьи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41" w:rsidRPr="0013743F" w:rsidRDefault="009A2641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1293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 представление 1 опубликованной статьи и 1 статьи, принятой в печать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C20C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1293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A2641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A2641" w:rsidRPr="0013743F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О.Б. Савинская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275"/>
        <w:gridCol w:w="2410"/>
      </w:tblGrid>
      <w:tr w:rsidR="0013743F" w:rsidRPr="00C20C3F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912930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91293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912930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91293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97599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диссертационного исследования и организация работы с библиографией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912930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91293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Pr="00C20C3F" w:rsidRDefault="00BF37A1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C20C3F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97599D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 методы исследований в социологии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C20C3F" w:rsidRPr="00C20C3F">
              <w:rPr>
                <w:rFonts w:ascii="Times New Roman" w:eastAsia="Times New Roman" w:hAnsi="Times New Roman" w:cs="Times New Roman"/>
                <w:color w:val="FF0000"/>
                <w:kern w:val="28"/>
                <w:lang w:val="ru-RU" w:eastAsia="ru-RU"/>
              </w:rPr>
              <w:t>или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Дисциплина из другой образовательной </w:t>
            </w:r>
            <w:proofErr w:type="gramStart"/>
            <w:r w:rsidR="002517DE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программы</w:t>
            </w:r>
            <w:proofErr w:type="gramEnd"/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C20C3F" w:rsidRPr="00C20C3F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указ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 xml:space="preserve">ать </w:t>
            </w:r>
            <w:proofErr w:type="gramStart"/>
            <w:r w:rsidR="00C20C3F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какой</w:t>
            </w:r>
            <w:proofErr w:type="gramEnd"/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C20C3F" w:rsidRDefault="002517DE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 w:rsidR="00BF37A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BF37A1" w:rsidRPr="0013743F" w:rsidTr="0097599D">
        <w:trPr>
          <w:trHeight w:val="393"/>
        </w:trPr>
        <w:tc>
          <w:tcPr>
            <w:tcW w:w="9781" w:type="dxa"/>
            <w:gridSpan w:val="4"/>
          </w:tcPr>
          <w:p w:rsidR="00BF37A1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BF37A1" w:rsidRPr="00A322AD" w:rsidTr="0067301D">
        <w:trPr>
          <w:trHeight w:val="567"/>
        </w:trPr>
        <w:tc>
          <w:tcPr>
            <w:tcW w:w="851" w:type="dxa"/>
          </w:tcPr>
          <w:p w:rsidR="00BF37A1" w:rsidRPr="00207E84" w:rsidRDefault="00BF37A1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</w:p>
        </w:tc>
        <w:tc>
          <w:tcPr>
            <w:tcW w:w="5245" w:type="dxa"/>
          </w:tcPr>
          <w:p w:rsidR="00BF37A1" w:rsidRPr="00BF37A1" w:rsidRDefault="00BF37A1" w:rsidP="0067301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BF37A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Научно-исследовательская практика </w:t>
            </w:r>
          </w:p>
        </w:tc>
        <w:tc>
          <w:tcPr>
            <w:tcW w:w="1275" w:type="dxa"/>
          </w:tcPr>
          <w:p w:rsidR="00BF37A1" w:rsidRPr="00BF37A1" w:rsidRDefault="00BF37A1" w:rsidP="0067301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  <w:tc>
          <w:tcPr>
            <w:tcW w:w="2410" w:type="dxa"/>
          </w:tcPr>
          <w:p w:rsidR="00BF37A1" w:rsidRPr="0013743F" w:rsidRDefault="00BF37A1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зачет,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C20C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Научные исследования по выбору</w:t>
            </w:r>
          </w:p>
        </w:tc>
        <w:tc>
          <w:tcPr>
            <w:tcW w:w="1275" w:type="dxa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C20C3F" w:rsidRDefault="00BF37A1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C20C3F" w:rsidRPr="00285E67" w:rsidTr="009E1179">
        <w:trPr>
          <w:trHeight w:val="567"/>
        </w:trPr>
        <w:tc>
          <w:tcPr>
            <w:tcW w:w="851" w:type="dxa"/>
          </w:tcPr>
          <w:p w:rsidR="00C20C3F" w:rsidRDefault="00C20C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4.1.1</w:t>
            </w:r>
          </w:p>
        </w:tc>
        <w:tc>
          <w:tcPr>
            <w:tcW w:w="5245" w:type="dxa"/>
          </w:tcPr>
          <w:p w:rsidR="00C20C3F" w:rsidRDefault="00C20C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</w:t>
            </w:r>
            <w:r w:rsidRP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егулярное посещение семинаров ЛЭСИ</w:t>
            </w:r>
            <w:r w:rsidR="0028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285E67" w:rsidRPr="00285E67">
              <w:rPr>
                <w:rFonts w:ascii="Times New Roman" w:eastAsia="Times New Roman" w:hAnsi="Times New Roman" w:cs="Times New Roman"/>
                <w:color w:val="FF0000"/>
                <w:kern w:val="28"/>
                <w:lang w:val="ru-RU" w:eastAsia="ru-RU"/>
              </w:rPr>
              <w:t>для специальности 22.00.03 (Экономическая социология</w:t>
            </w:r>
            <w:r w:rsidR="00285E67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proofErr w:type="gramEnd"/>
          </w:p>
          <w:p w:rsidR="00285E67" w:rsidRPr="00C20C3F" w:rsidRDefault="00285E67" w:rsidP="00285E6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1275" w:type="dxa"/>
          </w:tcPr>
          <w:p w:rsidR="00C20C3F" w:rsidRDefault="00C20C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C20C3F" w:rsidRDefault="00C20C3F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285E67">
        <w:trPr>
          <w:trHeight w:val="1856"/>
        </w:trPr>
        <w:tc>
          <w:tcPr>
            <w:tcW w:w="851" w:type="dxa"/>
          </w:tcPr>
          <w:p w:rsidR="0013743F" w:rsidRPr="0013743F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</w:tc>
        <w:tc>
          <w:tcPr>
            <w:tcW w:w="1275" w:type="dxa"/>
          </w:tcPr>
          <w:p w:rsidR="0013743F" w:rsidRPr="0013743F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12</w:t>
            </w:r>
          </w:p>
        </w:tc>
        <w:tc>
          <w:tcPr>
            <w:tcW w:w="2410" w:type="dxa"/>
          </w:tcPr>
          <w:p w:rsidR="0013743F" w:rsidRPr="0013743F" w:rsidRDefault="00BF37A1" w:rsidP="00285E6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97599D" w:rsidRPr="0097599D" w:rsidTr="009B7B69">
        <w:trPr>
          <w:trHeight w:val="561"/>
        </w:trPr>
        <w:tc>
          <w:tcPr>
            <w:tcW w:w="851" w:type="dxa"/>
          </w:tcPr>
          <w:p w:rsidR="0097599D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.3</w:t>
            </w:r>
          </w:p>
        </w:tc>
        <w:tc>
          <w:tcPr>
            <w:tcW w:w="5245" w:type="dxa"/>
          </w:tcPr>
          <w:p w:rsidR="0097599D" w:rsidRPr="0097599D" w:rsidRDefault="0097599D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изданиях</w:t>
            </w:r>
          </w:p>
        </w:tc>
        <w:tc>
          <w:tcPr>
            <w:tcW w:w="1275" w:type="dxa"/>
          </w:tcPr>
          <w:p w:rsidR="0097599D" w:rsidRDefault="00BF37A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97599D" w:rsidRPr="00C20C3F" w:rsidRDefault="00BF37A1" w:rsidP="00C20C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BF37A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bookmarkStart w:id="7" w:name="_GoBack"/>
        <w:bookmarkEnd w:id="7"/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BF37A1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C20C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BF37A1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C20C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A2641" w:rsidRDefault="009A2641" w:rsidP="009A2641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4241" w:rsidRPr="00C55342" w:rsidRDefault="009A2641" w:rsidP="00C20C3F">
      <w:pPr>
        <w:keepLines/>
        <w:widowControl/>
        <w:suppressAutoHyphens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социологическим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</w:t>
      </w:r>
      <w:r w:rsidR="00C20C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/ О.Б. Савинская</w:t>
      </w: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43F"/>
    <w:rsid w:val="000A5E20"/>
    <w:rsid w:val="000B73AF"/>
    <w:rsid w:val="000C1FE8"/>
    <w:rsid w:val="00134241"/>
    <w:rsid w:val="0013743F"/>
    <w:rsid w:val="0015013A"/>
    <w:rsid w:val="001D3B22"/>
    <w:rsid w:val="002517DE"/>
    <w:rsid w:val="00285E67"/>
    <w:rsid w:val="00433871"/>
    <w:rsid w:val="004F0D67"/>
    <w:rsid w:val="00584DC4"/>
    <w:rsid w:val="005F7523"/>
    <w:rsid w:val="006A3B25"/>
    <w:rsid w:val="006C76D1"/>
    <w:rsid w:val="006E2589"/>
    <w:rsid w:val="006F62DC"/>
    <w:rsid w:val="007375E0"/>
    <w:rsid w:val="007C0BFF"/>
    <w:rsid w:val="00912930"/>
    <w:rsid w:val="0097599D"/>
    <w:rsid w:val="009A2641"/>
    <w:rsid w:val="009B7B69"/>
    <w:rsid w:val="009E1179"/>
    <w:rsid w:val="00A322AD"/>
    <w:rsid w:val="00AF476D"/>
    <w:rsid w:val="00BF37A1"/>
    <w:rsid w:val="00C20C3F"/>
    <w:rsid w:val="00C55342"/>
    <w:rsid w:val="00D51D8A"/>
    <w:rsid w:val="00D7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</cp:lastModifiedBy>
  <cp:revision>3</cp:revision>
  <dcterms:created xsi:type="dcterms:W3CDTF">2020-12-28T20:28:00Z</dcterms:created>
  <dcterms:modified xsi:type="dcterms:W3CDTF">2020-12-28T20:44:00Z</dcterms:modified>
</cp:coreProperties>
</file>