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FDAA3" w14:textId="77777777" w:rsidR="006046C7" w:rsidRPr="009A6BD4" w:rsidRDefault="006046C7" w:rsidP="006046C7">
      <w:pPr>
        <w:pStyle w:val="af0"/>
        <w:jc w:val="right"/>
        <w:rPr>
          <w:rStyle w:val="12"/>
          <w:b w:val="0"/>
          <w:color w:val="000000"/>
          <w:szCs w:val="28"/>
          <w:lang w:eastAsia="ru-RU"/>
        </w:rPr>
      </w:pPr>
    </w:p>
    <w:p w14:paraId="4EB35862" w14:textId="77777777" w:rsidR="006046C7" w:rsidRPr="009A6BD4" w:rsidRDefault="006046C7" w:rsidP="006046C7">
      <w:pPr>
        <w:pStyle w:val="af0"/>
        <w:jc w:val="center"/>
        <w:rPr>
          <w:rStyle w:val="12"/>
          <w:b w:val="0"/>
          <w:color w:val="000000"/>
          <w:szCs w:val="28"/>
          <w:lang w:eastAsia="ru-RU"/>
        </w:rPr>
      </w:pPr>
      <w:r w:rsidRPr="009A6BD4">
        <w:rPr>
          <w:noProof/>
          <w:lang w:eastAsia="ru-RU"/>
        </w:rPr>
        <w:drawing>
          <wp:inline distT="0" distB="0" distL="0" distR="0" wp14:anchorId="0D431BDB" wp14:editId="62904CEA">
            <wp:extent cx="647700" cy="619125"/>
            <wp:effectExtent l="0" t="0" r="0" b="9525"/>
            <wp:docPr id="3" name="Рисунок 3" descr="логотип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готип черно-бел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19125"/>
                    </a:xfrm>
                    <a:prstGeom prst="rect">
                      <a:avLst/>
                    </a:prstGeom>
                    <a:noFill/>
                    <a:ln>
                      <a:noFill/>
                    </a:ln>
                  </pic:spPr>
                </pic:pic>
              </a:graphicData>
            </a:graphic>
          </wp:inline>
        </w:drawing>
      </w:r>
    </w:p>
    <w:p w14:paraId="51529825" w14:textId="77777777" w:rsidR="006046C7" w:rsidRPr="009A6BD4" w:rsidRDefault="006046C7" w:rsidP="006046C7">
      <w:pPr>
        <w:pStyle w:val="af0"/>
        <w:jc w:val="center"/>
        <w:rPr>
          <w:rStyle w:val="12"/>
          <w:b w:val="0"/>
          <w:color w:val="000000"/>
          <w:szCs w:val="28"/>
          <w:lang w:eastAsia="ru-RU"/>
        </w:rPr>
      </w:pPr>
    </w:p>
    <w:p w14:paraId="68A39689" w14:textId="77777777" w:rsidR="006046C7" w:rsidRPr="009A6BD4" w:rsidRDefault="006046C7" w:rsidP="006046C7">
      <w:pPr>
        <w:pStyle w:val="af0"/>
        <w:jc w:val="center"/>
        <w:rPr>
          <w:rStyle w:val="12"/>
          <w:color w:val="000000"/>
          <w:szCs w:val="28"/>
          <w:lang w:eastAsia="ru-RU"/>
        </w:rPr>
      </w:pPr>
      <w:r w:rsidRPr="009A6BD4">
        <w:rPr>
          <w:rStyle w:val="12"/>
          <w:color w:val="000000"/>
          <w:szCs w:val="28"/>
          <w:lang w:eastAsia="ru-RU"/>
        </w:rPr>
        <w:t>НАЦИОНАЛЬНЫЙ ИССЛЕДОВАТЕЛЬСКИЙ УНИВЕРСИТЕТ</w:t>
      </w:r>
    </w:p>
    <w:p w14:paraId="66D2F077" w14:textId="77777777" w:rsidR="006046C7" w:rsidRPr="009A6BD4" w:rsidRDefault="006046C7" w:rsidP="006046C7">
      <w:pPr>
        <w:pStyle w:val="af0"/>
        <w:jc w:val="center"/>
        <w:rPr>
          <w:rStyle w:val="12"/>
          <w:color w:val="000000"/>
          <w:szCs w:val="28"/>
          <w:lang w:eastAsia="ru-RU"/>
        </w:rPr>
      </w:pPr>
      <w:r w:rsidRPr="009A6BD4">
        <w:rPr>
          <w:rStyle w:val="12"/>
          <w:color w:val="000000"/>
          <w:szCs w:val="28"/>
          <w:lang w:eastAsia="ru-RU"/>
        </w:rPr>
        <w:t>«ВЫСШАЯ ШКОЛА ЭКОНОМИКИ»</w:t>
      </w:r>
    </w:p>
    <w:p w14:paraId="455FF83F" w14:textId="77777777" w:rsidR="006046C7" w:rsidRPr="009A6BD4" w:rsidRDefault="006046C7" w:rsidP="006046C7">
      <w:pPr>
        <w:pStyle w:val="af0"/>
        <w:jc w:val="center"/>
        <w:rPr>
          <w:rStyle w:val="12"/>
          <w:color w:val="000000"/>
          <w:szCs w:val="28"/>
          <w:lang w:eastAsia="ru-RU"/>
        </w:rPr>
      </w:pPr>
    </w:p>
    <w:p w14:paraId="0DC35BC3" w14:textId="77777777" w:rsidR="006046C7" w:rsidRPr="009A6BD4" w:rsidRDefault="006046C7" w:rsidP="006046C7">
      <w:pPr>
        <w:pStyle w:val="af0"/>
        <w:jc w:val="center"/>
        <w:rPr>
          <w:rStyle w:val="12"/>
          <w:color w:val="000000"/>
          <w:szCs w:val="28"/>
          <w:lang w:eastAsia="ru-RU"/>
        </w:rPr>
      </w:pPr>
    </w:p>
    <w:p w14:paraId="1AA3F746" w14:textId="77777777" w:rsidR="006046C7" w:rsidRPr="009A6BD4" w:rsidRDefault="006046C7" w:rsidP="006046C7">
      <w:pPr>
        <w:pStyle w:val="af0"/>
        <w:jc w:val="center"/>
        <w:rPr>
          <w:rStyle w:val="12"/>
          <w:color w:val="000000"/>
          <w:szCs w:val="28"/>
          <w:lang w:eastAsia="ru-RU"/>
        </w:rPr>
      </w:pPr>
    </w:p>
    <w:p w14:paraId="1F51EB15" w14:textId="77777777" w:rsidR="006046C7" w:rsidRPr="009A6BD4" w:rsidRDefault="006046C7" w:rsidP="006046C7">
      <w:pPr>
        <w:pStyle w:val="af0"/>
        <w:jc w:val="center"/>
        <w:rPr>
          <w:rStyle w:val="12"/>
          <w:color w:val="000000"/>
          <w:szCs w:val="28"/>
          <w:lang w:eastAsia="ru-RU"/>
        </w:rPr>
      </w:pPr>
    </w:p>
    <w:p w14:paraId="24B45661" w14:textId="77777777" w:rsidR="006046C7" w:rsidRPr="009A6BD4" w:rsidRDefault="006046C7" w:rsidP="006046C7">
      <w:pPr>
        <w:pStyle w:val="af0"/>
        <w:jc w:val="center"/>
        <w:rPr>
          <w:rStyle w:val="12"/>
          <w:color w:val="000000"/>
          <w:szCs w:val="28"/>
          <w:lang w:eastAsia="ru-RU"/>
        </w:rPr>
      </w:pPr>
      <w:r w:rsidRPr="009A6BD4">
        <w:rPr>
          <w:rStyle w:val="12"/>
          <w:color w:val="000000"/>
          <w:szCs w:val="28"/>
          <w:lang w:eastAsia="ru-RU"/>
        </w:rPr>
        <w:t>НАУЧНЫЙ ДОКЛАД</w:t>
      </w:r>
    </w:p>
    <w:p w14:paraId="3562813C" w14:textId="77777777" w:rsidR="006046C7" w:rsidRPr="009A6BD4" w:rsidRDefault="006046C7" w:rsidP="006046C7">
      <w:pPr>
        <w:pStyle w:val="af0"/>
        <w:jc w:val="center"/>
        <w:rPr>
          <w:rStyle w:val="12"/>
          <w:color w:val="000000"/>
          <w:szCs w:val="28"/>
          <w:lang w:eastAsia="ru-RU"/>
        </w:rPr>
      </w:pPr>
    </w:p>
    <w:p w14:paraId="1F04A4E7" w14:textId="77777777" w:rsidR="006046C7" w:rsidRPr="009A6BD4" w:rsidRDefault="006046C7" w:rsidP="006046C7">
      <w:pPr>
        <w:pStyle w:val="af0"/>
        <w:jc w:val="center"/>
        <w:rPr>
          <w:rStyle w:val="12"/>
          <w:color w:val="000000"/>
          <w:szCs w:val="28"/>
          <w:lang w:eastAsia="ru-RU"/>
        </w:rPr>
      </w:pPr>
      <w:r w:rsidRPr="009A6BD4">
        <w:rPr>
          <w:rStyle w:val="12"/>
          <w:color w:val="000000"/>
          <w:szCs w:val="28"/>
          <w:lang w:eastAsia="ru-RU"/>
        </w:rPr>
        <w:t xml:space="preserve">по </w:t>
      </w:r>
      <w:proofErr w:type="gramStart"/>
      <w:r w:rsidRPr="009A6BD4">
        <w:rPr>
          <w:rStyle w:val="12"/>
          <w:color w:val="000000"/>
          <w:szCs w:val="28"/>
          <w:lang w:eastAsia="ru-RU"/>
        </w:rPr>
        <w:t>результатам  подготовленной</w:t>
      </w:r>
      <w:proofErr w:type="gramEnd"/>
    </w:p>
    <w:p w14:paraId="1036FE0C" w14:textId="77777777" w:rsidR="006046C7" w:rsidRPr="009A6BD4" w:rsidRDefault="006046C7" w:rsidP="006046C7">
      <w:pPr>
        <w:pStyle w:val="af0"/>
        <w:jc w:val="center"/>
        <w:rPr>
          <w:rStyle w:val="12"/>
          <w:color w:val="000000"/>
          <w:szCs w:val="28"/>
          <w:lang w:eastAsia="ru-RU"/>
        </w:rPr>
      </w:pPr>
      <w:r w:rsidRPr="009A6BD4">
        <w:rPr>
          <w:rStyle w:val="12"/>
          <w:color w:val="000000"/>
          <w:szCs w:val="28"/>
          <w:lang w:eastAsia="ru-RU"/>
        </w:rPr>
        <w:t>научно-квалификационной работы (диссертации)</w:t>
      </w:r>
    </w:p>
    <w:p w14:paraId="28BCDAD1" w14:textId="61AA576B" w:rsidR="006046C7" w:rsidRPr="009A6BD4" w:rsidRDefault="006046C7" w:rsidP="006046C7">
      <w:pPr>
        <w:pStyle w:val="af0"/>
        <w:jc w:val="center"/>
        <w:rPr>
          <w:rStyle w:val="12"/>
          <w:color w:val="000000"/>
          <w:szCs w:val="28"/>
          <w:lang w:eastAsia="ru-RU"/>
        </w:rPr>
      </w:pPr>
      <w:r w:rsidRPr="009A6BD4">
        <w:rPr>
          <w:rStyle w:val="12"/>
          <w:color w:val="000000"/>
          <w:szCs w:val="28"/>
          <w:lang w:eastAsia="ru-RU"/>
        </w:rPr>
        <w:t>на тему: «</w:t>
      </w:r>
      <w:r w:rsidR="007102A4" w:rsidRPr="007102A4">
        <w:rPr>
          <w:rFonts w:ascii="Times New Roman" w:hAnsi="Times New Roman"/>
          <w:b/>
          <w:bCs/>
          <w:color w:val="000000"/>
          <w:sz w:val="28"/>
          <w:szCs w:val="28"/>
          <w:shd w:val="clear" w:color="auto" w:fill="FFFFFF"/>
          <w:lang w:eastAsia="ru-RU"/>
        </w:rPr>
        <w:t>Модели операционной деятельности международных нефтесервисных компаний на российском энергетическом рынке</w:t>
      </w:r>
      <w:r w:rsidRPr="009A6BD4">
        <w:rPr>
          <w:rStyle w:val="12"/>
          <w:color w:val="000000"/>
          <w:szCs w:val="28"/>
          <w:lang w:eastAsia="ru-RU"/>
        </w:rPr>
        <w:t>»</w:t>
      </w:r>
    </w:p>
    <w:p w14:paraId="70235033" w14:textId="77777777" w:rsidR="006046C7" w:rsidRPr="009A6BD4" w:rsidRDefault="006046C7" w:rsidP="006046C7">
      <w:pPr>
        <w:pStyle w:val="af0"/>
        <w:jc w:val="center"/>
        <w:rPr>
          <w:rStyle w:val="12"/>
          <w:color w:val="000000"/>
          <w:szCs w:val="28"/>
          <w:lang w:eastAsia="ru-RU"/>
        </w:rPr>
      </w:pPr>
    </w:p>
    <w:p w14:paraId="15C8B149" w14:textId="77777777" w:rsidR="006046C7" w:rsidRPr="009A6BD4" w:rsidRDefault="006046C7" w:rsidP="006046C7">
      <w:pPr>
        <w:pBdr>
          <w:top w:val="single" w:sz="4" w:space="1" w:color="auto"/>
          <w:left w:val="single" w:sz="4" w:space="4" w:color="auto"/>
          <w:bottom w:val="single" w:sz="4" w:space="1" w:color="auto"/>
          <w:right w:val="single" w:sz="4" w:space="4" w:color="auto"/>
        </w:pBdr>
        <w:rPr>
          <w:color w:val="000000"/>
          <w:sz w:val="28"/>
          <w:szCs w:val="28"/>
          <w:shd w:val="clear" w:color="auto" w:fill="FFFFFF"/>
          <w:lang w:eastAsia="ru-RU"/>
        </w:rPr>
      </w:pPr>
    </w:p>
    <w:p w14:paraId="4BB95B99" w14:textId="57D2EFCD" w:rsidR="006046C7" w:rsidRPr="009A6BD4" w:rsidRDefault="005422ED" w:rsidP="006046C7">
      <w:pPr>
        <w:pBdr>
          <w:top w:val="single" w:sz="4" w:space="1" w:color="auto"/>
          <w:left w:val="single" w:sz="4" w:space="4" w:color="auto"/>
          <w:bottom w:val="single" w:sz="4" w:space="1" w:color="auto"/>
          <w:right w:val="single" w:sz="4" w:space="4" w:color="auto"/>
        </w:pBdr>
        <w:rPr>
          <w:color w:val="000000"/>
          <w:sz w:val="28"/>
          <w:szCs w:val="28"/>
          <w:shd w:val="clear" w:color="auto" w:fill="FFFFFF"/>
          <w:lang w:eastAsia="ru-RU"/>
        </w:rPr>
      </w:pPr>
      <w:r>
        <w:rPr>
          <w:b/>
          <w:bCs/>
          <w:color w:val="000000"/>
          <w:sz w:val="28"/>
          <w:szCs w:val="28"/>
          <w:shd w:val="clear" w:color="auto" w:fill="FFFFFF"/>
          <w:lang w:eastAsia="ru-RU"/>
        </w:rPr>
        <w:t>Симонов Кирилл Алексеевич</w:t>
      </w:r>
    </w:p>
    <w:p w14:paraId="18F6A39B" w14:textId="77777777" w:rsidR="005422ED" w:rsidRDefault="006046C7" w:rsidP="006046C7">
      <w:pPr>
        <w:pBdr>
          <w:top w:val="single" w:sz="4" w:space="1" w:color="auto"/>
          <w:left w:val="single" w:sz="4" w:space="4" w:color="auto"/>
          <w:bottom w:val="single" w:sz="4" w:space="1" w:color="auto"/>
          <w:right w:val="single" w:sz="4" w:space="4" w:color="auto"/>
        </w:pBdr>
        <w:rPr>
          <w:b/>
          <w:bCs/>
          <w:color w:val="000000"/>
          <w:sz w:val="28"/>
          <w:szCs w:val="28"/>
          <w:shd w:val="clear" w:color="auto" w:fill="FFFFFF"/>
          <w:lang w:eastAsia="ru-RU"/>
        </w:rPr>
      </w:pPr>
      <w:r w:rsidRPr="009A6BD4">
        <w:rPr>
          <w:b/>
          <w:bCs/>
          <w:color w:val="000000"/>
          <w:sz w:val="28"/>
          <w:szCs w:val="28"/>
          <w:shd w:val="clear" w:color="auto" w:fill="FFFFFF"/>
          <w:lang w:eastAsia="ru-RU"/>
        </w:rPr>
        <w:t xml:space="preserve">Направление подготовки 38.06.01 Экономика </w:t>
      </w:r>
    </w:p>
    <w:p w14:paraId="73175A61" w14:textId="74524EDE" w:rsidR="006046C7" w:rsidRPr="009A6BD4" w:rsidRDefault="006046C7" w:rsidP="006046C7">
      <w:pPr>
        <w:pBdr>
          <w:top w:val="single" w:sz="4" w:space="1" w:color="auto"/>
          <w:left w:val="single" w:sz="4" w:space="4" w:color="auto"/>
          <w:bottom w:val="single" w:sz="4" w:space="1" w:color="auto"/>
          <w:right w:val="single" w:sz="4" w:space="4" w:color="auto"/>
        </w:pBdr>
        <w:rPr>
          <w:color w:val="000000"/>
          <w:sz w:val="28"/>
          <w:szCs w:val="28"/>
          <w:shd w:val="clear" w:color="auto" w:fill="FFFFFF"/>
          <w:lang w:eastAsia="ru-RU"/>
        </w:rPr>
      </w:pPr>
      <w:r w:rsidRPr="009A6BD4">
        <w:rPr>
          <w:b/>
          <w:bCs/>
          <w:color w:val="000000"/>
          <w:sz w:val="28"/>
          <w:szCs w:val="28"/>
          <w:shd w:val="clear" w:color="auto" w:fill="FFFFFF"/>
          <w:lang w:eastAsia="ru-RU"/>
        </w:rPr>
        <w:t>Профиль (направленность) программы</w:t>
      </w:r>
      <w:r w:rsidR="005422ED">
        <w:rPr>
          <w:b/>
          <w:bCs/>
          <w:color w:val="000000"/>
          <w:sz w:val="28"/>
          <w:szCs w:val="28"/>
          <w:shd w:val="clear" w:color="auto" w:fill="FFFFFF"/>
          <w:lang w:eastAsia="ru-RU"/>
        </w:rPr>
        <w:t>:</w:t>
      </w:r>
      <w:r w:rsidRPr="009A6BD4">
        <w:rPr>
          <w:b/>
          <w:bCs/>
          <w:color w:val="000000"/>
          <w:sz w:val="28"/>
          <w:szCs w:val="28"/>
          <w:shd w:val="clear" w:color="auto" w:fill="FFFFFF"/>
          <w:lang w:eastAsia="ru-RU"/>
        </w:rPr>
        <w:t xml:space="preserve"> </w:t>
      </w:r>
      <w:r w:rsidR="005422ED">
        <w:rPr>
          <w:b/>
          <w:bCs/>
          <w:color w:val="000000"/>
          <w:sz w:val="28"/>
          <w:szCs w:val="28"/>
          <w:shd w:val="clear" w:color="auto" w:fill="FFFFFF"/>
          <w:lang w:eastAsia="ru-RU"/>
        </w:rPr>
        <w:t>«Мировая экономика»</w:t>
      </w:r>
      <w:r w:rsidRPr="009A6BD4">
        <w:rPr>
          <w:b/>
          <w:bCs/>
          <w:color w:val="000000"/>
          <w:sz w:val="28"/>
          <w:szCs w:val="28"/>
          <w:shd w:val="clear" w:color="auto" w:fill="FFFFFF"/>
          <w:lang w:eastAsia="ru-RU"/>
        </w:rPr>
        <w:t xml:space="preserve"> </w:t>
      </w:r>
    </w:p>
    <w:p w14:paraId="61F3434E" w14:textId="77777777" w:rsidR="006046C7" w:rsidRPr="009A6BD4" w:rsidRDefault="006046C7" w:rsidP="006046C7">
      <w:pPr>
        <w:pBdr>
          <w:top w:val="single" w:sz="4" w:space="1" w:color="auto"/>
          <w:left w:val="single" w:sz="4" w:space="4" w:color="auto"/>
          <w:bottom w:val="single" w:sz="4" w:space="1" w:color="auto"/>
          <w:right w:val="single" w:sz="4" w:space="4" w:color="auto"/>
        </w:pBdr>
        <w:rPr>
          <w:b/>
          <w:bCs/>
          <w:color w:val="000000"/>
          <w:sz w:val="28"/>
          <w:szCs w:val="28"/>
          <w:shd w:val="clear" w:color="auto" w:fill="FFFFFF"/>
          <w:lang w:eastAsia="ru-RU"/>
        </w:rPr>
      </w:pPr>
      <w:r w:rsidRPr="009A6BD4">
        <w:rPr>
          <w:b/>
          <w:bCs/>
          <w:color w:val="000000"/>
          <w:sz w:val="28"/>
          <w:szCs w:val="28"/>
          <w:shd w:val="clear" w:color="auto" w:fill="FFFFFF"/>
          <w:lang w:eastAsia="ru-RU"/>
        </w:rPr>
        <w:t>Аспирантская школа по экономике</w:t>
      </w:r>
    </w:p>
    <w:p w14:paraId="4C6A0225" w14:textId="77777777" w:rsidR="006046C7" w:rsidRPr="009A6BD4" w:rsidRDefault="006046C7" w:rsidP="006046C7">
      <w:pPr>
        <w:pBdr>
          <w:top w:val="single" w:sz="4" w:space="1" w:color="auto"/>
          <w:left w:val="single" w:sz="4" w:space="4" w:color="auto"/>
          <w:bottom w:val="single" w:sz="4" w:space="1" w:color="auto"/>
          <w:right w:val="single" w:sz="4" w:space="4" w:color="auto"/>
        </w:pBdr>
        <w:rPr>
          <w:b/>
          <w:bCs/>
          <w:color w:val="000000"/>
          <w:sz w:val="28"/>
          <w:szCs w:val="28"/>
          <w:shd w:val="clear" w:color="auto" w:fill="FFFFFF"/>
          <w:lang w:eastAsia="ru-RU"/>
        </w:rPr>
      </w:pPr>
    </w:p>
    <w:p w14:paraId="02D535F8" w14:textId="77777777" w:rsidR="005422ED" w:rsidRDefault="005422ED" w:rsidP="006046C7">
      <w:pPr>
        <w:rPr>
          <w:color w:val="000000"/>
          <w:sz w:val="28"/>
          <w:szCs w:val="28"/>
          <w:shd w:val="clear" w:color="auto" w:fill="FFFFFF"/>
          <w:lang w:eastAsia="ru-RU"/>
        </w:rPr>
      </w:pPr>
    </w:p>
    <w:p w14:paraId="74F069CB" w14:textId="3A164155" w:rsidR="006046C7" w:rsidRPr="009A6BD4" w:rsidRDefault="006046C7" w:rsidP="006046C7">
      <w:pPr>
        <w:rPr>
          <w:color w:val="000000"/>
          <w:sz w:val="28"/>
          <w:szCs w:val="28"/>
          <w:shd w:val="clear" w:color="auto" w:fill="FFFFFF"/>
          <w:lang w:eastAsia="ru-RU"/>
        </w:rPr>
      </w:pPr>
      <w:r w:rsidRPr="009A6BD4">
        <w:rPr>
          <w:color w:val="000000"/>
          <w:sz w:val="28"/>
          <w:szCs w:val="28"/>
          <w:shd w:val="clear" w:color="auto" w:fill="FFFFFF"/>
          <w:lang w:eastAsia="ru-RU"/>
        </w:rPr>
        <w:t>Аспирант _________________________/</w:t>
      </w:r>
      <w:r w:rsidR="005422ED">
        <w:rPr>
          <w:color w:val="000000"/>
          <w:sz w:val="28"/>
          <w:szCs w:val="28"/>
          <w:shd w:val="clear" w:color="auto" w:fill="FFFFFF"/>
          <w:lang w:eastAsia="ru-RU"/>
        </w:rPr>
        <w:t>Симонов К.А.</w:t>
      </w:r>
      <w:r w:rsidRPr="009A6BD4">
        <w:rPr>
          <w:color w:val="000000"/>
          <w:sz w:val="28"/>
          <w:szCs w:val="28"/>
          <w:shd w:val="clear" w:color="auto" w:fill="FFFFFF"/>
          <w:lang w:eastAsia="ru-RU"/>
        </w:rPr>
        <w:t xml:space="preserve"> /</w:t>
      </w:r>
    </w:p>
    <w:p w14:paraId="46177693" w14:textId="488427A3" w:rsidR="006046C7" w:rsidRPr="009A6BD4" w:rsidRDefault="006046C7" w:rsidP="006046C7">
      <w:pPr>
        <w:rPr>
          <w:i/>
          <w:color w:val="000000"/>
          <w:sz w:val="16"/>
          <w:szCs w:val="16"/>
          <w:shd w:val="clear" w:color="auto" w:fill="FFFFFF"/>
          <w:lang w:eastAsia="ru-RU"/>
        </w:rPr>
      </w:pPr>
      <w:r w:rsidRPr="009A6BD4">
        <w:rPr>
          <w:i/>
          <w:color w:val="000000"/>
          <w:sz w:val="16"/>
          <w:szCs w:val="16"/>
          <w:shd w:val="clear" w:color="auto" w:fill="FFFFFF"/>
          <w:lang w:eastAsia="ru-RU"/>
        </w:rPr>
        <w:t xml:space="preserve">                                                                  подпись</w:t>
      </w:r>
    </w:p>
    <w:p w14:paraId="07D70907" w14:textId="0500AA92" w:rsidR="006046C7" w:rsidRPr="009A6BD4" w:rsidRDefault="006046C7" w:rsidP="006046C7">
      <w:pPr>
        <w:rPr>
          <w:color w:val="000000"/>
          <w:sz w:val="28"/>
          <w:szCs w:val="28"/>
          <w:shd w:val="clear" w:color="auto" w:fill="FFFFFF"/>
          <w:lang w:eastAsia="ru-RU"/>
        </w:rPr>
      </w:pPr>
      <w:r w:rsidRPr="009A6BD4">
        <w:rPr>
          <w:color w:val="000000"/>
          <w:sz w:val="28"/>
          <w:szCs w:val="28"/>
          <w:shd w:val="clear" w:color="auto" w:fill="FFFFFF"/>
          <w:lang w:eastAsia="ru-RU"/>
        </w:rPr>
        <w:t>Научный руководитель _________________________/</w:t>
      </w:r>
      <w:r w:rsidR="005422ED">
        <w:rPr>
          <w:color w:val="000000"/>
          <w:sz w:val="28"/>
          <w:szCs w:val="28"/>
          <w:shd w:val="clear" w:color="auto" w:fill="FFFFFF"/>
          <w:lang w:eastAsia="ru-RU"/>
        </w:rPr>
        <w:t>Уланов В.Л.</w:t>
      </w:r>
      <w:r w:rsidRPr="009A6BD4">
        <w:rPr>
          <w:color w:val="000000"/>
          <w:sz w:val="28"/>
          <w:szCs w:val="28"/>
          <w:shd w:val="clear" w:color="auto" w:fill="FFFFFF"/>
          <w:lang w:eastAsia="ru-RU"/>
        </w:rPr>
        <w:t>/</w:t>
      </w:r>
    </w:p>
    <w:p w14:paraId="5F820ADD" w14:textId="77777777" w:rsidR="006046C7" w:rsidRPr="009A6BD4" w:rsidRDefault="006046C7" w:rsidP="006046C7">
      <w:pPr>
        <w:rPr>
          <w:i/>
          <w:color w:val="000000"/>
          <w:sz w:val="16"/>
          <w:szCs w:val="16"/>
          <w:shd w:val="clear" w:color="auto" w:fill="FFFFFF"/>
          <w:lang w:eastAsia="ru-RU"/>
        </w:rPr>
      </w:pPr>
      <w:r w:rsidRPr="009A6BD4">
        <w:rPr>
          <w:i/>
          <w:color w:val="000000"/>
          <w:sz w:val="16"/>
          <w:szCs w:val="16"/>
          <w:shd w:val="clear" w:color="auto" w:fill="FFFFFF"/>
          <w:lang w:eastAsia="ru-RU"/>
        </w:rPr>
        <w:t xml:space="preserve">                                                                                                      подпись</w:t>
      </w:r>
    </w:p>
    <w:p w14:paraId="41CE7246" w14:textId="39DBA358" w:rsidR="006046C7" w:rsidRPr="009A6BD4" w:rsidRDefault="006046C7" w:rsidP="006046C7">
      <w:pPr>
        <w:rPr>
          <w:color w:val="000000"/>
          <w:sz w:val="28"/>
          <w:szCs w:val="28"/>
          <w:shd w:val="clear" w:color="auto" w:fill="FFFFFF"/>
          <w:lang w:eastAsia="ru-RU"/>
        </w:rPr>
      </w:pPr>
      <w:r w:rsidRPr="009A6BD4">
        <w:rPr>
          <w:color w:val="000000"/>
          <w:sz w:val="28"/>
          <w:szCs w:val="28"/>
          <w:shd w:val="clear" w:color="auto" w:fill="FFFFFF"/>
          <w:lang w:eastAsia="ru-RU"/>
        </w:rPr>
        <w:t>Директор Аспирантской школы ________________________/</w:t>
      </w:r>
      <w:r w:rsidR="005422ED">
        <w:rPr>
          <w:color w:val="000000"/>
          <w:sz w:val="28"/>
          <w:szCs w:val="28"/>
          <w:shd w:val="clear" w:color="auto" w:fill="FFFFFF"/>
          <w:lang w:eastAsia="ru-RU"/>
        </w:rPr>
        <w:t>Демидова О.А.</w:t>
      </w:r>
      <w:r w:rsidRPr="009A6BD4">
        <w:rPr>
          <w:color w:val="000000"/>
          <w:sz w:val="28"/>
          <w:szCs w:val="28"/>
          <w:shd w:val="clear" w:color="auto" w:fill="FFFFFF"/>
          <w:lang w:eastAsia="ru-RU"/>
        </w:rPr>
        <w:t>/</w:t>
      </w:r>
    </w:p>
    <w:p w14:paraId="2802AC84" w14:textId="77777777" w:rsidR="006046C7" w:rsidRPr="009A6BD4" w:rsidRDefault="006046C7" w:rsidP="006046C7">
      <w:pPr>
        <w:rPr>
          <w:i/>
          <w:color w:val="000000"/>
          <w:sz w:val="16"/>
          <w:szCs w:val="16"/>
          <w:shd w:val="clear" w:color="auto" w:fill="FFFFFF"/>
          <w:lang w:eastAsia="ru-RU"/>
        </w:rPr>
      </w:pPr>
      <w:r w:rsidRPr="009A6BD4">
        <w:rPr>
          <w:i/>
          <w:color w:val="000000"/>
          <w:sz w:val="16"/>
          <w:szCs w:val="16"/>
          <w:shd w:val="clear" w:color="auto" w:fill="FFFFFF"/>
          <w:lang w:eastAsia="ru-RU"/>
        </w:rPr>
        <w:t xml:space="preserve">                                                                                                                              подпись</w:t>
      </w:r>
    </w:p>
    <w:p w14:paraId="09A10991" w14:textId="77777777" w:rsidR="006046C7" w:rsidRPr="009A6BD4" w:rsidRDefault="006046C7" w:rsidP="006046C7">
      <w:pPr>
        <w:rPr>
          <w:color w:val="000000"/>
          <w:sz w:val="28"/>
          <w:szCs w:val="28"/>
          <w:shd w:val="clear" w:color="auto" w:fill="FFFFFF"/>
          <w:lang w:eastAsia="ru-RU"/>
        </w:rPr>
      </w:pPr>
    </w:p>
    <w:p w14:paraId="0ED7F0F2" w14:textId="49E2464E" w:rsidR="006046C7" w:rsidRPr="00BB1563" w:rsidRDefault="006046C7" w:rsidP="006046C7">
      <w:pPr>
        <w:pStyle w:val="af0"/>
        <w:jc w:val="center"/>
        <w:rPr>
          <w:rFonts w:ascii="Times New Roman" w:hAnsi="Times New Roman"/>
          <w:sz w:val="28"/>
          <w:szCs w:val="28"/>
        </w:rPr>
      </w:pPr>
      <w:r w:rsidRPr="009A6BD4">
        <w:rPr>
          <w:rStyle w:val="12"/>
          <w:color w:val="000000"/>
          <w:szCs w:val="28"/>
          <w:lang w:eastAsia="ru-RU"/>
        </w:rPr>
        <w:t xml:space="preserve">Москва, </w:t>
      </w:r>
      <w:r w:rsidR="005422ED">
        <w:rPr>
          <w:rStyle w:val="12"/>
          <w:color w:val="000000"/>
          <w:szCs w:val="28"/>
          <w:lang w:eastAsia="ru-RU"/>
        </w:rPr>
        <w:t>2020</w:t>
      </w:r>
      <w:r w:rsidRPr="00427C61">
        <w:rPr>
          <w:rStyle w:val="12"/>
          <w:color w:val="000000"/>
          <w:szCs w:val="28"/>
          <w:lang w:eastAsia="ru-RU"/>
        </w:rPr>
        <w:t xml:space="preserve"> </w:t>
      </w:r>
    </w:p>
    <w:p w14:paraId="51BF9A6C" w14:textId="77777777" w:rsidR="006046C7" w:rsidRDefault="006046C7" w:rsidP="00C35A04">
      <w:pPr>
        <w:spacing w:line="360" w:lineRule="auto"/>
        <w:rPr>
          <w:rFonts w:ascii="Times New Roman" w:hAnsi="Times New Roman" w:cs="Times New Roman"/>
          <w:b/>
          <w:bCs/>
          <w:sz w:val="24"/>
          <w:szCs w:val="24"/>
        </w:rPr>
      </w:pPr>
    </w:p>
    <w:p w14:paraId="18587B48" w14:textId="77777777" w:rsidR="005422ED" w:rsidRDefault="005422ED" w:rsidP="00C35A04">
      <w:pPr>
        <w:spacing w:line="360" w:lineRule="auto"/>
        <w:rPr>
          <w:rFonts w:ascii="Times New Roman" w:hAnsi="Times New Roman" w:cs="Times New Roman"/>
          <w:b/>
          <w:bCs/>
          <w:sz w:val="24"/>
          <w:szCs w:val="24"/>
        </w:rPr>
      </w:pPr>
    </w:p>
    <w:p w14:paraId="6409264F" w14:textId="10F16911" w:rsidR="00AB2FFB" w:rsidRPr="005422ED" w:rsidRDefault="00542E90" w:rsidP="00C35A04">
      <w:pPr>
        <w:spacing w:line="360" w:lineRule="auto"/>
        <w:rPr>
          <w:rFonts w:ascii="Times New Roman" w:hAnsi="Times New Roman" w:cs="Times New Roman"/>
          <w:b/>
          <w:bCs/>
          <w:sz w:val="28"/>
          <w:szCs w:val="28"/>
        </w:rPr>
      </w:pPr>
      <w:r w:rsidRPr="005422ED">
        <w:rPr>
          <w:rFonts w:ascii="Times New Roman" w:hAnsi="Times New Roman" w:cs="Times New Roman"/>
          <w:b/>
          <w:bCs/>
          <w:sz w:val="28"/>
          <w:szCs w:val="28"/>
        </w:rPr>
        <w:t>Актуальность исследования</w:t>
      </w:r>
    </w:p>
    <w:p w14:paraId="3DA4A563" w14:textId="2FEDA192" w:rsidR="001E70A3" w:rsidRPr="005422ED" w:rsidRDefault="00A34247" w:rsidP="00A34247">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Определение</w:t>
      </w:r>
      <w:r w:rsidR="00EA61C0" w:rsidRPr="005422ED">
        <w:rPr>
          <w:rFonts w:ascii="Times New Roman" w:hAnsi="Times New Roman" w:cs="Times New Roman"/>
          <w:sz w:val="28"/>
          <w:szCs w:val="28"/>
        </w:rPr>
        <w:t xml:space="preserve"> </w:t>
      </w:r>
      <w:r w:rsidRPr="005422ED">
        <w:rPr>
          <w:rFonts w:ascii="Times New Roman" w:hAnsi="Times New Roman" w:cs="Times New Roman"/>
          <w:sz w:val="28"/>
          <w:szCs w:val="28"/>
        </w:rPr>
        <w:t>операционной модели при выходе на</w:t>
      </w:r>
      <w:r w:rsidR="005F5F60" w:rsidRPr="005422ED">
        <w:rPr>
          <w:rFonts w:ascii="Times New Roman" w:hAnsi="Times New Roman" w:cs="Times New Roman"/>
          <w:sz w:val="28"/>
          <w:szCs w:val="28"/>
        </w:rPr>
        <w:t xml:space="preserve"> </w:t>
      </w:r>
      <w:r w:rsidRPr="005422ED">
        <w:rPr>
          <w:rFonts w:ascii="Times New Roman" w:hAnsi="Times New Roman" w:cs="Times New Roman"/>
          <w:sz w:val="28"/>
          <w:szCs w:val="28"/>
        </w:rPr>
        <w:t>рынок является стратегическим шагом компании</w:t>
      </w:r>
      <w:r w:rsidR="00420749" w:rsidRPr="005422ED">
        <w:rPr>
          <w:rFonts w:ascii="Times New Roman" w:hAnsi="Times New Roman" w:cs="Times New Roman"/>
          <w:sz w:val="28"/>
          <w:szCs w:val="28"/>
        </w:rPr>
        <w:t>, сводом норм, ценностей, направлений и ограничений для организации производства или оказания услуг</w:t>
      </w:r>
      <w:r w:rsidR="001E70A3" w:rsidRPr="005422ED">
        <w:rPr>
          <w:rFonts w:ascii="Times New Roman" w:hAnsi="Times New Roman" w:cs="Times New Roman"/>
          <w:sz w:val="28"/>
          <w:szCs w:val="28"/>
        </w:rPr>
        <w:t xml:space="preserve">. </w:t>
      </w:r>
    </w:p>
    <w:p w14:paraId="36F6EA68" w14:textId="2A3E814E" w:rsidR="00E50FCC" w:rsidRPr="005422ED" w:rsidRDefault="00EA61C0" w:rsidP="00495E20">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Применимость</w:t>
      </w:r>
      <w:r w:rsidR="001E6066" w:rsidRPr="005422ED">
        <w:rPr>
          <w:rFonts w:ascii="Times New Roman" w:hAnsi="Times New Roman" w:cs="Times New Roman"/>
          <w:sz w:val="28"/>
          <w:szCs w:val="28"/>
        </w:rPr>
        <w:t xml:space="preserve"> </w:t>
      </w:r>
      <w:r w:rsidR="001E70A3" w:rsidRPr="005422ED">
        <w:rPr>
          <w:rFonts w:ascii="Times New Roman" w:hAnsi="Times New Roman" w:cs="Times New Roman"/>
          <w:sz w:val="28"/>
          <w:szCs w:val="28"/>
        </w:rPr>
        <w:t>моделей операционной деятельности на рынках</w:t>
      </w:r>
      <w:r w:rsidR="00495E20" w:rsidRPr="005422ED">
        <w:rPr>
          <w:rFonts w:ascii="Times New Roman" w:hAnsi="Times New Roman" w:cs="Times New Roman"/>
          <w:sz w:val="28"/>
          <w:szCs w:val="28"/>
        </w:rPr>
        <w:t xml:space="preserve"> </w:t>
      </w:r>
      <w:r w:rsidRPr="005422ED">
        <w:rPr>
          <w:rFonts w:ascii="Times New Roman" w:hAnsi="Times New Roman" w:cs="Times New Roman"/>
          <w:sz w:val="28"/>
          <w:szCs w:val="28"/>
        </w:rPr>
        <w:t>опирается на</w:t>
      </w:r>
      <w:r w:rsidR="00495E20" w:rsidRPr="005422ED">
        <w:rPr>
          <w:rFonts w:ascii="Times New Roman" w:hAnsi="Times New Roman" w:cs="Times New Roman"/>
          <w:sz w:val="28"/>
          <w:szCs w:val="28"/>
        </w:rPr>
        <w:t xml:space="preserve"> наличи</w:t>
      </w:r>
      <w:r w:rsidRPr="005422ED">
        <w:rPr>
          <w:rFonts w:ascii="Times New Roman" w:hAnsi="Times New Roman" w:cs="Times New Roman"/>
          <w:sz w:val="28"/>
          <w:szCs w:val="28"/>
        </w:rPr>
        <w:t>е</w:t>
      </w:r>
      <w:r w:rsidR="00495E20" w:rsidRPr="005422ED">
        <w:rPr>
          <w:rFonts w:ascii="Times New Roman" w:hAnsi="Times New Roman" w:cs="Times New Roman"/>
          <w:sz w:val="28"/>
          <w:szCs w:val="28"/>
        </w:rPr>
        <w:t xml:space="preserve"> внешних и внутренних ограничений и возможностей конкретного рынка. </w:t>
      </w:r>
      <w:r w:rsidR="00C81377" w:rsidRPr="005422ED">
        <w:rPr>
          <w:rFonts w:ascii="Times New Roman" w:hAnsi="Times New Roman" w:cs="Times New Roman"/>
          <w:sz w:val="28"/>
          <w:szCs w:val="28"/>
        </w:rPr>
        <w:t xml:space="preserve">К внешним факторам относятся климатические условия региона, логистическая доступность, геополитическая позиция страны и пр. Внутренние факторы представляют государственное регулирование на рынке, нормативные акты и законы, политика привлечения инвестиций страны – реципиента, особенности конкуренции, протекционизм на рынке и пр. Внешние факторы оказывают идентичное влияние на операционные модели как национальных, так и зарубежных компаний. Поэтому построение операционной модели компании опирается на корректный учет внутренних ограничений, барьеров входа на рынок, координации действий компании с интересами государства и рынка. </w:t>
      </w:r>
    </w:p>
    <w:p w14:paraId="0F3E33A0" w14:textId="3AF351F9" w:rsidR="002E3216" w:rsidRPr="005422ED" w:rsidRDefault="00372D75" w:rsidP="002E3216">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Модели операционной деятельности нефтесервисной отрасли сильно диверсифицированы и ориентированы на ключевые потребности бизнеса на конкретном рынке.</w:t>
      </w:r>
      <w:r w:rsidR="002E3216" w:rsidRPr="005422ED">
        <w:rPr>
          <w:rFonts w:ascii="Times New Roman" w:hAnsi="Times New Roman" w:cs="Times New Roman"/>
          <w:sz w:val="28"/>
          <w:szCs w:val="28"/>
        </w:rPr>
        <w:t xml:space="preserve"> Вход на рынки сопровождается технологическими, экономическими, политическими барьерами </w:t>
      </w:r>
      <w:r w:rsidR="002E3216" w:rsidRPr="005422ED">
        <w:rPr>
          <w:rFonts w:ascii="Times New Roman" w:hAnsi="Times New Roman" w:cs="Times New Roman"/>
          <w:iCs/>
          <w:sz w:val="28"/>
          <w:szCs w:val="28"/>
        </w:rPr>
        <w:t>в зависимости от экономических особенностей региона, специфики государственного регулирования национального энергетического рынка.</w:t>
      </w:r>
      <w:r w:rsidR="002E3216" w:rsidRPr="005422ED">
        <w:rPr>
          <w:rFonts w:ascii="Times New Roman" w:hAnsi="Times New Roman" w:cs="Times New Roman"/>
          <w:sz w:val="28"/>
          <w:szCs w:val="28"/>
        </w:rPr>
        <w:t xml:space="preserve"> Операционные модели нефтесервисных компаний зависят от особенностей регулирования нефтесервисной отрасли в разных странах, принципах взаимодействия энергетических и сервисных компаний, уровня конкуренции и прозрачности рынка. Рынки США и Норвегии </w:t>
      </w:r>
      <w:proofErr w:type="gramStart"/>
      <w:r w:rsidR="002E3216" w:rsidRPr="005422ED">
        <w:rPr>
          <w:rFonts w:ascii="Times New Roman" w:hAnsi="Times New Roman" w:cs="Times New Roman"/>
          <w:sz w:val="28"/>
          <w:szCs w:val="28"/>
        </w:rPr>
        <w:t>являются  высококонкурентными</w:t>
      </w:r>
      <w:proofErr w:type="gramEnd"/>
      <w:r w:rsidR="002E3216" w:rsidRPr="005422ED">
        <w:rPr>
          <w:rFonts w:ascii="Times New Roman" w:hAnsi="Times New Roman" w:cs="Times New Roman"/>
          <w:sz w:val="28"/>
          <w:szCs w:val="28"/>
        </w:rPr>
        <w:t xml:space="preserve"> из-за большого количества сервисных компаний разных размеров. Нефтесервисный </w:t>
      </w:r>
      <w:r w:rsidR="002E3216" w:rsidRPr="005422ED">
        <w:rPr>
          <w:rFonts w:ascii="Times New Roman" w:hAnsi="Times New Roman" w:cs="Times New Roman"/>
          <w:sz w:val="28"/>
          <w:szCs w:val="28"/>
        </w:rPr>
        <w:lastRenderedPageBreak/>
        <w:t xml:space="preserve">рынок Китая характеризуется высокой степенью участия и контроля государства. Ему свойственен тип генеральных проектов, когда единый сервисный агент выполняет большинство работ по проекту.  Для того, чтобы быть успешным на новом рынке, международной нефтесервисной компании необходимо учесть национальные особенности экономики и политики региона и предложить корректную операционную модель, отвечающую требованиям и пожеланиям энергетических компаний как заказчика сервисных услуг. </w:t>
      </w:r>
    </w:p>
    <w:p w14:paraId="735265E3" w14:textId="31D86353" w:rsidR="004A5572" w:rsidRPr="005422ED" w:rsidRDefault="00DD6B19" w:rsidP="00495E20">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Российский энергетический рынок</w:t>
      </w:r>
      <w:r w:rsidR="004A5572" w:rsidRPr="005422ED">
        <w:rPr>
          <w:rFonts w:ascii="Times New Roman" w:hAnsi="Times New Roman" w:cs="Times New Roman"/>
          <w:sz w:val="28"/>
          <w:szCs w:val="28"/>
        </w:rPr>
        <w:t xml:space="preserve"> </w:t>
      </w:r>
      <w:r w:rsidRPr="005422ED">
        <w:rPr>
          <w:rFonts w:ascii="Times New Roman" w:hAnsi="Times New Roman" w:cs="Times New Roman"/>
          <w:sz w:val="28"/>
          <w:szCs w:val="28"/>
        </w:rPr>
        <w:t xml:space="preserve">- один из лидеров по величине запасов добываемых энергетических ресурсов, в том числе углеводородов, </w:t>
      </w:r>
      <w:r w:rsidR="00BF2F09" w:rsidRPr="005422ED">
        <w:rPr>
          <w:rFonts w:ascii="Times New Roman" w:hAnsi="Times New Roman" w:cs="Times New Roman"/>
          <w:sz w:val="28"/>
          <w:szCs w:val="28"/>
        </w:rPr>
        <w:t xml:space="preserve">является объектом </w:t>
      </w:r>
      <w:r w:rsidRPr="005422ED">
        <w:rPr>
          <w:rFonts w:ascii="Times New Roman" w:hAnsi="Times New Roman" w:cs="Times New Roman"/>
          <w:sz w:val="28"/>
          <w:szCs w:val="28"/>
        </w:rPr>
        <w:t>для</w:t>
      </w:r>
      <w:r w:rsidR="00BF2F09" w:rsidRPr="005422ED">
        <w:rPr>
          <w:rFonts w:ascii="Times New Roman" w:hAnsi="Times New Roman" w:cs="Times New Roman"/>
          <w:sz w:val="28"/>
          <w:szCs w:val="28"/>
        </w:rPr>
        <w:t xml:space="preserve"> инвестиций</w:t>
      </w:r>
      <w:r w:rsidRPr="005422ED">
        <w:rPr>
          <w:rFonts w:ascii="Times New Roman" w:hAnsi="Times New Roman" w:cs="Times New Roman"/>
          <w:sz w:val="28"/>
          <w:szCs w:val="28"/>
        </w:rPr>
        <w:t xml:space="preserve"> </w:t>
      </w:r>
      <w:r w:rsidR="004A5572" w:rsidRPr="005422ED">
        <w:rPr>
          <w:rFonts w:ascii="Times New Roman" w:hAnsi="Times New Roman" w:cs="Times New Roman"/>
          <w:sz w:val="28"/>
          <w:szCs w:val="28"/>
        </w:rPr>
        <w:t>международных нефтесервисных компаний. Российская нефтесервисная отрасль - одна из наиболее молодых в мире. Выделившись в независимую отрасль в 1990-х годах, российский нефтесервис находится на пути формирования рыночных отношений, развития инфраструктуры и определения стратегии государственного регулирования.</w:t>
      </w:r>
    </w:p>
    <w:p w14:paraId="482F7C78" w14:textId="60B7F9E5" w:rsidR="001D235C" w:rsidRPr="005422ED" w:rsidRDefault="005F5F60" w:rsidP="00495E20">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Тенденции развития </w:t>
      </w:r>
      <w:r w:rsidR="00FA4D4C" w:rsidRPr="005422ED">
        <w:rPr>
          <w:rFonts w:ascii="Times New Roman" w:hAnsi="Times New Roman" w:cs="Times New Roman"/>
          <w:sz w:val="28"/>
          <w:szCs w:val="28"/>
        </w:rPr>
        <w:t>экономики РФ советского и</w:t>
      </w:r>
      <w:r w:rsidRPr="005422ED">
        <w:rPr>
          <w:rFonts w:ascii="Times New Roman" w:hAnsi="Times New Roman" w:cs="Times New Roman"/>
          <w:sz w:val="28"/>
          <w:szCs w:val="28"/>
        </w:rPr>
        <w:t xml:space="preserve"> современного </w:t>
      </w:r>
      <w:r w:rsidR="00FA4D4C" w:rsidRPr="005422ED">
        <w:rPr>
          <w:rFonts w:ascii="Times New Roman" w:hAnsi="Times New Roman" w:cs="Times New Roman"/>
          <w:sz w:val="28"/>
          <w:szCs w:val="28"/>
        </w:rPr>
        <w:t>периодов сформировало условия для создания вертикально</w:t>
      </w:r>
      <w:r w:rsidR="00C75E1C" w:rsidRPr="005422ED">
        <w:rPr>
          <w:rFonts w:ascii="Times New Roman" w:hAnsi="Times New Roman" w:cs="Times New Roman"/>
          <w:sz w:val="28"/>
          <w:szCs w:val="28"/>
        </w:rPr>
        <w:t>-</w:t>
      </w:r>
      <w:r w:rsidR="00FA4D4C" w:rsidRPr="005422ED">
        <w:rPr>
          <w:rFonts w:ascii="Times New Roman" w:hAnsi="Times New Roman" w:cs="Times New Roman"/>
          <w:sz w:val="28"/>
          <w:szCs w:val="28"/>
        </w:rPr>
        <w:t>интегрированных компаний в нефтяной промышленности. Энергетические компании не только выполняли свои прямые функции – добычу и продажу нефти, но и содержали внутри структуры сервисные подразделения для полноценного покрытия спектра работ по эксплуатации месторождения: бурение, каротаж, текущие и капитальные ремонты скважин, цементирование и пр. В</w:t>
      </w:r>
      <w:r w:rsidR="00C34D48" w:rsidRPr="005422ED">
        <w:rPr>
          <w:rFonts w:ascii="Times New Roman" w:hAnsi="Times New Roman" w:cs="Times New Roman"/>
          <w:sz w:val="28"/>
          <w:szCs w:val="28"/>
        </w:rPr>
        <w:t xml:space="preserve">оспроизводилась модель полного цикла, в которой основные (добыча и реализация) и вспомогательные (обслуживание месторождений и скважин) функции реализовывались в рамках единой структуры. Структурные изменения в экономике отрасли в конце 1990-х - начале 2000-х годов (скачок цен на нефть), рыночное реформирование и либерализация национальной экономики </w:t>
      </w:r>
      <w:r w:rsidR="00B07B1E" w:rsidRPr="005422ED">
        <w:rPr>
          <w:rFonts w:ascii="Times New Roman" w:hAnsi="Times New Roman" w:cs="Times New Roman"/>
          <w:sz w:val="28"/>
          <w:szCs w:val="28"/>
        </w:rPr>
        <w:t>стали предпосылкой к появлению на российском рынке международных нефтесервисных компаний</w:t>
      </w:r>
      <w:r w:rsidR="002E2BF4" w:rsidRPr="005422ED">
        <w:rPr>
          <w:rFonts w:ascii="Times New Roman" w:hAnsi="Times New Roman" w:cs="Times New Roman"/>
          <w:sz w:val="28"/>
          <w:szCs w:val="28"/>
        </w:rPr>
        <w:t xml:space="preserve">. Наступил процесс диверсификации операционных моделей энергетических компаний </w:t>
      </w:r>
      <w:r w:rsidR="001D235C" w:rsidRPr="005422ED">
        <w:rPr>
          <w:rFonts w:ascii="Times New Roman" w:hAnsi="Times New Roman" w:cs="Times New Roman"/>
          <w:sz w:val="28"/>
          <w:szCs w:val="28"/>
        </w:rPr>
        <w:t>– постепенной</w:t>
      </w:r>
      <w:r w:rsidR="002E2BF4" w:rsidRPr="005422ED">
        <w:rPr>
          <w:rFonts w:ascii="Times New Roman" w:hAnsi="Times New Roman" w:cs="Times New Roman"/>
          <w:sz w:val="28"/>
          <w:szCs w:val="28"/>
        </w:rPr>
        <w:t xml:space="preserve"> передачи на аутсорсинг </w:t>
      </w:r>
      <w:r w:rsidR="002E2BF4" w:rsidRPr="005422ED">
        <w:rPr>
          <w:rFonts w:ascii="Times New Roman" w:hAnsi="Times New Roman" w:cs="Times New Roman"/>
          <w:sz w:val="28"/>
          <w:szCs w:val="28"/>
        </w:rPr>
        <w:lastRenderedPageBreak/>
        <w:t>работ по обслуживанию скважин</w:t>
      </w:r>
      <w:r w:rsidR="001D235C" w:rsidRPr="005422ED">
        <w:rPr>
          <w:rFonts w:ascii="Times New Roman" w:hAnsi="Times New Roman" w:cs="Times New Roman"/>
          <w:sz w:val="28"/>
          <w:szCs w:val="28"/>
        </w:rPr>
        <w:t xml:space="preserve"> международным сервисным подрядчикам, обладающим инновационными для рынка технологиями и информационными решениями в области добычи полезных ископаемых. </w:t>
      </w:r>
      <w:r w:rsidR="004312A5" w:rsidRPr="005422ED">
        <w:rPr>
          <w:rFonts w:ascii="Times New Roman" w:hAnsi="Times New Roman" w:cs="Times New Roman"/>
          <w:sz w:val="28"/>
          <w:szCs w:val="28"/>
        </w:rPr>
        <w:t>Основным сегментом по объемам и доходам рынка нефтесервисных услуг стал сегмент бурения, доля которого превышала 50% в портфеле международных нефтесервисных компаний. Сегменты ремонта скважин, цементирования и сейсморазведки также стали фокусом перехода на аутсорсинг. Экономика отрасли позволяла энергетическим компаниям использовать комбинированный подход к реализации проектов по разработке месторождений, привлекая аутсорсинг и используя собственные подразделения. Современное состояние экономики нефтесервисной промышленности (волатильность цен на нефть, замедление темпов роста мировой экономики), а также нефтяной отрасли в России (ухудшение ресурсной базы, увеличение доли трудноизвлекаемых запасов в портфелях энергетических компаний) осложнило реализацию подобного подхода.</w:t>
      </w:r>
      <w:r w:rsidR="00647448" w:rsidRPr="005422ED">
        <w:rPr>
          <w:rFonts w:ascii="Times New Roman" w:hAnsi="Times New Roman" w:cs="Times New Roman"/>
          <w:sz w:val="28"/>
          <w:szCs w:val="28"/>
        </w:rPr>
        <w:t xml:space="preserve"> Падение цен на нефть и финансовая дестабилизация отрасли привели</w:t>
      </w:r>
      <w:r w:rsidR="000A3DD6" w:rsidRPr="005422ED">
        <w:rPr>
          <w:rFonts w:ascii="Times New Roman" w:hAnsi="Times New Roman" w:cs="Times New Roman"/>
          <w:sz w:val="28"/>
          <w:szCs w:val="28"/>
        </w:rPr>
        <w:t xml:space="preserve"> к ограничениям обеспечения контрактов </w:t>
      </w:r>
      <w:r w:rsidR="00647448" w:rsidRPr="005422ED">
        <w:rPr>
          <w:rFonts w:ascii="Times New Roman" w:hAnsi="Times New Roman" w:cs="Times New Roman"/>
          <w:sz w:val="28"/>
          <w:szCs w:val="28"/>
        </w:rPr>
        <w:t xml:space="preserve">с международными нефтесервисными компаниями в привычном объеме. Слабая промышленная база, отсутствие конкурентоспособных технологических решений на отечественном рынке не позволяли энергетическим компаниям вернуться к исходной модели полного покрытия спектра работ собственными силами. </w:t>
      </w:r>
      <w:r w:rsidR="00723FA0" w:rsidRPr="005422ED">
        <w:rPr>
          <w:rFonts w:ascii="Times New Roman" w:hAnsi="Times New Roman" w:cs="Times New Roman"/>
          <w:sz w:val="28"/>
          <w:szCs w:val="28"/>
        </w:rPr>
        <w:t>Бизнес-процессы м</w:t>
      </w:r>
      <w:r w:rsidR="001B56E2" w:rsidRPr="005422ED">
        <w:rPr>
          <w:rFonts w:ascii="Times New Roman" w:hAnsi="Times New Roman" w:cs="Times New Roman"/>
          <w:sz w:val="28"/>
          <w:szCs w:val="28"/>
        </w:rPr>
        <w:t>еждународны</w:t>
      </w:r>
      <w:r w:rsidR="00723FA0" w:rsidRPr="005422ED">
        <w:rPr>
          <w:rFonts w:ascii="Times New Roman" w:hAnsi="Times New Roman" w:cs="Times New Roman"/>
          <w:sz w:val="28"/>
          <w:szCs w:val="28"/>
        </w:rPr>
        <w:t>х</w:t>
      </w:r>
      <w:r w:rsidR="001B56E2" w:rsidRPr="005422ED">
        <w:rPr>
          <w:rFonts w:ascii="Times New Roman" w:hAnsi="Times New Roman" w:cs="Times New Roman"/>
          <w:sz w:val="28"/>
          <w:szCs w:val="28"/>
        </w:rPr>
        <w:t xml:space="preserve"> нефтесервисны</w:t>
      </w:r>
      <w:r w:rsidR="00723FA0" w:rsidRPr="005422ED">
        <w:rPr>
          <w:rFonts w:ascii="Times New Roman" w:hAnsi="Times New Roman" w:cs="Times New Roman"/>
          <w:sz w:val="28"/>
          <w:szCs w:val="28"/>
        </w:rPr>
        <w:t xml:space="preserve">х </w:t>
      </w:r>
      <w:r w:rsidR="001B56E2" w:rsidRPr="005422ED">
        <w:rPr>
          <w:rFonts w:ascii="Times New Roman" w:hAnsi="Times New Roman" w:cs="Times New Roman"/>
          <w:sz w:val="28"/>
          <w:szCs w:val="28"/>
        </w:rPr>
        <w:t>компани</w:t>
      </w:r>
      <w:r w:rsidR="00723FA0" w:rsidRPr="005422ED">
        <w:rPr>
          <w:rFonts w:ascii="Times New Roman" w:hAnsi="Times New Roman" w:cs="Times New Roman"/>
          <w:sz w:val="28"/>
          <w:szCs w:val="28"/>
        </w:rPr>
        <w:t>й</w:t>
      </w:r>
      <w:r w:rsidR="001B56E2" w:rsidRPr="005422ED">
        <w:rPr>
          <w:rFonts w:ascii="Times New Roman" w:hAnsi="Times New Roman" w:cs="Times New Roman"/>
          <w:sz w:val="28"/>
          <w:szCs w:val="28"/>
        </w:rPr>
        <w:t>,</w:t>
      </w:r>
      <w:r w:rsidR="00723FA0" w:rsidRPr="005422ED">
        <w:rPr>
          <w:rFonts w:ascii="Times New Roman" w:hAnsi="Times New Roman" w:cs="Times New Roman"/>
          <w:sz w:val="28"/>
          <w:szCs w:val="28"/>
        </w:rPr>
        <w:t xml:space="preserve"> которые</w:t>
      </w:r>
      <w:r w:rsidR="001B56E2" w:rsidRPr="005422ED">
        <w:rPr>
          <w:rFonts w:ascii="Times New Roman" w:hAnsi="Times New Roman" w:cs="Times New Roman"/>
          <w:sz w:val="28"/>
          <w:szCs w:val="28"/>
        </w:rPr>
        <w:t xml:space="preserve"> зависят от планов энергетических компаний также оказались нестабильны. </w:t>
      </w:r>
      <w:r w:rsidR="00414929" w:rsidRPr="005422ED">
        <w:rPr>
          <w:rFonts w:ascii="Times New Roman" w:hAnsi="Times New Roman" w:cs="Times New Roman"/>
          <w:sz w:val="28"/>
          <w:szCs w:val="28"/>
        </w:rPr>
        <w:t>Нарастив экономический и технологический потенциал, международные нефтесервисные компании предлагают на рынке</w:t>
      </w:r>
      <w:r w:rsidR="00723FA0" w:rsidRPr="005422ED">
        <w:rPr>
          <w:rFonts w:ascii="Times New Roman" w:hAnsi="Times New Roman" w:cs="Times New Roman"/>
          <w:sz w:val="28"/>
          <w:szCs w:val="28"/>
        </w:rPr>
        <w:t xml:space="preserve"> набор операционных моделей с различной степенью вовлеченности работ по эксплуатации месторождений. Энергетические компании не задействовали все операционные модели сервисных компаний, предлагаемые на рынке.</w:t>
      </w:r>
      <w:r w:rsidR="00414929" w:rsidRPr="005422ED">
        <w:rPr>
          <w:rFonts w:ascii="Times New Roman" w:hAnsi="Times New Roman" w:cs="Times New Roman"/>
          <w:sz w:val="28"/>
          <w:szCs w:val="28"/>
        </w:rPr>
        <w:t xml:space="preserve"> </w:t>
      </w:r>
      <w:r w:rsidR="001B56E2" w:rsidRPr="005422ED">
        <w:rPr>
          <w:rFonts w:ascii="Times New Roman" w:hAnsi="Times New Roman" w:cs="Times New Roman"/>
          <w:sz w:val="28"/>
          <w:szCs w:val="28"/>
        </w:rPr>
        <w:t xml:space="preserve">Возникла потребность к пересмотру механизма взаимодействия с нефтесервисными компаниями со стороны энергетических компаний, и операционных моделей нефтесервисных компаний на российском рынке. </w:t>
      </w:r>
    </w:p>
    <w:p w14:paraId="687CA559" w14:textId="3CCCA159" w:rsidR="005D2E71" w:rsidRPr="005422ED" w:rsidRDefault="005D2E71" w:rsidP="00495E20">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lastRenderedPageBreak/>
        <w:t>Энергетическим компаниям необходимо корректно подойти к оценке операционных моделей нефтесервисных компаний. Разные операционные модели нефтесервисных компаний влияют на соотношение капитальных и операционных затрат энергетических компаний при реализации проекта.</w:t>
      </w:r>
      <w:r w:rsidR="00ED0015" w:rsidRPr="005422ED">
        <w:rPr>
          <w:rFonts w:ascii="Times New Roman" w:hAnsi="Times New Roman" w:cs="Times New Roman"/>
          <w:sz w:val="28"/>
          <w:szCs w:val="28"/>
        </w:rPr>
        <w:t xml:space="preserve"> Различные технологии и решения по выполнению видов работ на месторождении дают неравный финансово-экономический эффект. Классические методики оценки проектов (например, </w:t>
      </w:r>
      <w:r w:rsidR="00ED0015" w:rsidRPr="005422ED">
        <w:rPr>
          <w:rFonts w:ascii="Times New Roman" w:hAnsi="Times New Roman" w:cs="Times New Roman"/>
          <w:sz w:val="28"/>
          <w:szCs w:val="28"/>
          <w:lang w:val="en-US"/>
        </w:rPr>
        <w:t>Discount</w:t>
      </w:r>
      <w:r w:rsidR="00ED0015" w:rsidRPr="005422ED">
        <w:rPr>
          <w:rFonts w:ascii="Times New Roman" w:hAnsi="Times New Roman" w:cs="Times New Roman"/>
          <w:sz w:val="28"/>
          <w:szCs w:val="28"/>
        </w:rPr>
        <w:t xml:space="preserve"> </w:t>
      </w:r>
      <w:r w:rsidR="00ED0015" w:rsidRPr="005422ED">
        <w:rPr>
          <w:rFonts w:ascii="Times New Roman" w:hAnsi="Times New Roman" w:cs="Times New Roman"/>
          <w:sz w:val="28"/>
          <w:szCs w:val="28"/>
          <w:lang w:val="en-US"/>
        </w:rPr>
        <w:t>Cash</w:t>
      </w:r>
      <w:r w:rsidR="00ED0015" w:rsidRPr="005422ED">
        <w:rPr>
          <w:rFonts w:ascii="Times New Roman" w:hAnsi="Times New Roman" w:cs="Times New Roman"/>
          <w:sz w:val="28"/>
          <w:szCs w:val="28"/>
        </w:rPr>
        <w:t xml:space="preserve"> </w:t>
      </w:r>
      <w:r w:rsidR="00ED0015" w:rsidRPr="005422ED">
        <w:rPr>
          <w:rFonts w:ascii="Times New Roman" w:hAnsi="Times New Roman" w:cs="Times New Roman"/>
          <w:sz w:val="28"/>
          <w:szCs w:val="28"/>
          <w:lang w:val="en-US"/>
        </w:rPr>
        <w:t>Flow</w:t>
      </w:r>
      <w:r w:rsidR="00ED0015" w:rsidRPr="005422ED">
        <w:rPr>
          <w:rFonts w:ascii="Times New Roman" w:hAnsi="Times New Roman" w:cs="Times New Roman"/>
          <w:sz w:val="28"/>
          <w:szCs w:val="28"/>
        </w:rPr>
        <w:t xml:space="preserve"> (</w:t>
      </w:r>
      <w:r w:rsidR="00ED0015" w:rsidRPr="005422ED">
        <w:rPr>
          <w:rFonts w:ascii="Times New Roman" w:hAnsi="Times New Roman" w:cs="Times New Roman"/>
          <w:sz w:val="28"/>
          <w:szCs w:val="28"/>
          <w:lang w:val="en-US"/>
        </w:rPr>
        <w:t>DCF</w:t>
      </w:r>
      <w:r w:rsidR="00ED0015" w:rsidRPr="005422ED">
        <w:rPr>
          <w:rFonts w:ascii="Times New Roman" w:hAnsi="Times New Roman" w:cs="Times New Roman"/>
          <w:sz w:val="28"/>
          <w:szCs w:val="28"/>
        </w:rPr>
        <w:t xml:space="preserve">)) не позволяют учесть важную особенность производственного процесса в нефтегазовой отрасли – возможность того, что при значительном падении цены на добываемое полезное ископаемое реализация проекта может быть остановлена (неопределенность). Методика DCF смещает результат оценки ввиду дисконтирования всех денежных потоков по единой ставке. Современные методики (Modern Asset Pricing (MAP)) позволяют корректно оценить все денежные потоки проекта и повысить объективность и прозрачность принятия решения о подходе к его реализации. </w:t>
      </w:r>
      <w:r w:rsidR="00A70D60" w:rsidRPr="005422ED">
        <w:rPr>
          <w:rFonts w:ascii="Times New Roman" w:hAnsi="Times New Roman" w:cs="Times New Roman"/>
          <w:sz w:val="28"/>
          <w:szCs w:val="28"/>
        </w:rPr>
        <w:t>Энергетическим компаниям необходимо сформулировать методологию и обоснование оценки эффекта разных моделей операционной деятельности нефтесервисных компаний на экономику проектов.</w:t>
      </w:r>
    </w:p>
    <w:p w14:paraId="11569FC3" w14:textId="7ECE771A" w:rsidR="00935BE5" w:rsidRPr="005422ED" w:rsidRDefault="00935BE5" w:rsidP="00495E20">
      <w:pPr>
        <w:spacing w:line="360" w:lineRule="auto"/>
        <w:jc w:val="both"/>
        <w:rPr>
          <w:rFonts w:ascii="Times New Roman" w:hAnsi="Times New Roman" w:cs="Times New Roman"/>
          <w:sz w:val="28"/>
          <w:szCs w:val="28"/>
        </w:rPr>
      </w:pPr>
      <w:r w:rsidRPr="005422ED">
        <w:rPr>
          <w:rFonts w:ascii="Times New Roman" w:hAnsi="Times New Roman" w:cs="Times New Roman"/>
          <w:b/>
          <w:bCs/>
          <w:sz w:val="28"/>
          <w:szCs w:val="28"/>
        </w:rPr>
        <w:t>Объектом</w:t>
      </w:r>
      <w:r w:rsidRPr="005422ED">
        <w:rPr>
          <w:rFonts w:ascii="Times New Roman" w:hAnsi="Times New Roman" w:cs="Times New Roman"/>
          <w:sz w:val="28"/>
          <w:szCs w:val="28"/>
        </w:rPr>
        <w:t xml:space="preserve"> исследования являются операционные модели нефтесервисных компаний, предлагаемые на рынке сегодня. </w:t>
      </w:r>
      <w:r w:rsidRPr="005422ED">
        <w:rPr>
          <w:rFonts w:ascii="Times New Roman" w:hAnsi="Times New Roman" w:cs="Times New Roman"/>
          <w:b/>
          <w:bCs/>
          <w:sz w:val="28"/>
          <w:szCs w:val="28"/>
        </w:rPr>
        <w:t>Предметом</w:t>
      </w:r>
      <w:r w:rsidRPr="005422ED">
        <w:rPr>
          <w:rFonts w:ascii="Times New Roman" w:hAnsi="Times New Roman" w:cs="Times New Roman"/>
          <w:sz w:val="28"/>
          <w:szCs w:val="28"/>
        </w:rPr>
        <w:t xml:space="preserve"> исследования являются влияние операционных моделей на эффективность реализации добывающих проектов энергетических компаний как основных заказчиков сервисных услуг. </w:t>
      </w:r>
    </w:p>
    <w:p w14:paraId="03351416" w14:textId="4AD2CD74" w:rsidR="005D2E71" w:rsidRPr="005422ED" w:rsidRDefault="004B6BD7" w:rsidP="004B6BD7">
      <w:pPr>
        <w:spacing w:line="360" w:lineRule="auto"/>
        <w:jc w:val="both"/>
        <w:rPr>
          <w:rFonts w:ascii="Times New Roman" w:hAnsi="Times New Roman" w:cs="Times New Roman"/>
          <w:sz w:val="28"/>
          <w:szCs w:val="28"/>
        </w:rPr>
      </w:pPr>
      <w:r w:rsidRPr="005422ED">
        <w:rPr>
          <w:rFonts w:ascii="Times New Roman" w:hAnsi="Times New Roman" w:cs="Times New Roman"/>
          <w:b/>
          <w:bCs/>
          <w:sz w:val="28"/>
          <w:szCs w:val="28"/>
        </w:rPr>
        <w:t>Целью</w:t>
      </w:r>
      <w:r w:rsidRPr="005422ED">
        <w:rPr>
          <w:rFonts w:ascii="Times New Roman" w:hAnsi="Times New Roman" w:cs="Times New Roman"/>
          <w:sz w:val="28"/>
          <w:szCs w:val="28"/>
        </w:rPr>
        <w:t xml:space="preserve"> данного исследования является </w:t>
      </w:r>
      <w:r w:rsidR="00A05E68" w:rsidRPr="005422ED">
        <w:rPr>
          <w:rFonts w:ascii="Times New Roman" w:hAnsi="Times New Roman" w:cs="Times New Roman"/>
          <w:sz w:val="28"/>
          <w:szCs w:val="28"/>
        </w:rPr>
        <w:t>формирование</w:t>
      </w:r>
      <w:r w:rsidRPr="005422ED">
        <w:rPr>
          <w:rFonts w:ascii="Times New Roman" w:hAnsi="Times New Roman" w:cs="Times New Roman"/>
          <w:sz w:val="28"/>
          <w:szCs w:val="28"/>
        </w:rPr>
        <w:t xml:space="preserve"> операционных моделей нефтесервисных компаний </w:t>
      </w:r>
      <w:r w:rsidR="00B90E8F" w:rsidRPr="005422ED">
        <w:rPr>
          <w:rFonts w:ascii="Times New Roman" w:hAnsi="Times New Roman" w:cs="Times New Roman"/>
          <w:sz w:val="28"/>
          <w:szCs w:val="28"/>
        </w:rPr>
        <w:t xml:space="preserve">с учетом </w:t>
      </w:r>
      <w:r w:rsidR="005D2E71" w:rsidRPr="005422ED">
        <w:rPr>
          <w:rFonts w:ascii="Times New Roman" w:hAnsi="Times New Roman" w:cs="Times New Roman"/>
          <w:sz w:val="28"/>
          <w:szCs w:val="28"/>
        </w:rPr>
        <w:t>тенденций</w:t>
      </w:r>
      <w:r w:rsidR="00B90E8F" w:rsidRPr="005422ED">
        <w:rPr>
          <w:rFonts w:ascii="Times New Roman" w:hAnsi="Times New Roman" w:cs="Times New Roman"/>
          <w:sz w:val="28"/>
          <w:szCs w:val="28"/>
        </w:rPr>
        <w:t xml:space="preserve"> </w:t>
      </w:r>
      <w:r w:rsidRPr="005422ED">
        <w:rPr>
          <w:rFonts w:ascii="Times New Roman" w:hAnsi="Times New Roman" w:cs="Times New Roman"/>
          <w:sz w:val="28"/>
          <w:szCs w:val="28"/>
        </w:rPr>
        <w:t xml:space="preserve">государственного регулирования, </w:t>
      </w:r>
      <w:r w:rsidR="0068782C" w:rsidRPr="005422ED">
        <w:rPr>
          <w:rFonts w:ascii="Times New Roman" w:hAnsi="Times New Roman" w:cs="Times New Roman"/>
          <w:sz w:val="28"/>
          <w:szCs w:val="28"/>
        </w:rPr>
        <w:t xml:space="preserve">связей </w:t>
      </w:r>
      <w:r w:rsidR="00B90E8F" w:rsidRPr="005422ED">
        <w:rPr>
          <w:rFonts w:ascii="Times New Roman" w:hAnsi="Times New Roman" w:cs="Times New Roman"/>
          <w:sz w:val="28"/>
          <w:szCs w:val="28"/>
        </w:rPr>
        <w:t xml:space="preserve">между </w:t>
      </w:r>
      <w:r w:rsidR="00A05E68" w:rsidRPr="005422ED">
        <w:rPr>
          <w:rFonts w:ascii="Times New Roman" w:hAnsi="Times New Roman" w:cs="Times New Roman"/>
          <w:sz w:val="28"/>
          <w:szCs w:val="28"/>
        </w:rPr>
        <w:t>национальны</w:t>
      </w:r>
      <w:r w:rsidR="00B90E8F" w:rsidRPr="005422ED">
        <w:rPr>
          <w:rFonts w:ascii="Times New Roman" w:hAnsi="Times New Roman" w:cs="Times New Roman"/>
          <w:sz w:val="28"/>
          <w:szCs w:val="28"/>
        </w:rPr>
        <w:t>ми</w:t>
      </w:r>
      <w:r w:rsidR="00A05E68" w:rsidRPr="005422ED">
        <w:rPr>
          <w:rFonts w:ascii="Times New Roman" w:hAnsi="Times New Roman" w:cs="Times New Roman"/>
          <w:sz w:val="28"/>
          <w:szCs w:val="28"/>
        </w:rPr>
        <w:t xml:space="preserve"> энергетических и международны</w:t>
      </w:r>
      <w:r w:rsidR="00B90E8F" w:rsidRPr="005422ED">
        <w:rPr>
          <w:rFonts w:ascii="Times New Roman" w:hAnsi="Times New Roman" w:cs="Times New Roman"/>
          <w:sz w:val="28"/>
          <w:szCs w:val="28"/>
        </w:rPr>
        <w:t>ми</w:t>
      </w:r>
      <w:r w:rsidR="00A05E68" w:rsidRPr="005422ED">
        <w:rPr>
          <w:rFonts w:ascii="Times New Roman" w:hAnsi="Times New Roman" w:cs="Times New Roman"/>
          <w:sz w:val="28"/>
          <w:szCs w:val="28"/>
        </w:rPr>
        <w:t xml:space="preserve"> нефтесервисны</w:t>
      </w:r>
      <w:r w:rsidR="005D2E71" w:rsidRPr="005422ED">
        <w:rPr>
          <w:rFonts w:ascii="Times New Roman" w:hAnsi="Times New Roman" w:cs="Times New Roman"/>
          <w:sz w:val="28"/>
          <w:szCs w:val="28"/>
        </w:rPr>
        <w:t xml:space="preserve">ми </w:t>
      </w:r>
      <w:r w:rsidR="00A05E68" w:rsidRPr="005422ED">
        <w:rPr>
          <w:rFonts w:ascii="Times New Roman" w:hAnsi="Times New Roman" w:cs="Times New Roman"/>
          <w:sz w:val="28"/>
          <w:szCs w:val="28"/>
        </w:rPr>
        <w:t>компани</w:t>
      </w:r>
      <w:r w:rsidR="005D2E71" w:rsidRPr="005422ED">
        <w:rPr>
          <w:rFonts w:ascii="Times New Roman" w:hAnsi="Times New Roman" w:cs="Times New Roman"/>
          <w:sz w:val="28"/>
          <w:szCs w:val="28"/>
        </w:rPr>
        <w:t>ями</w:t>
      </w:r>
      <w:r w:rsidRPr="005422ED">
        <w:rPr>
          <w:rFonts w:ascii="Times New Roman" w:hAnsi="Times New Roman" w:cs="Times New Roman"/>
          <w:sz w:val="28"/>
          <w:szCs w:val="28"/>
        </w:rPr>
        <w:t>, развития отрасли и адаптивности к изменениям</w:t>
      </w:r>
      <w:r w:rsidR="005D2E71" w:rsidRPr="005422ED">
        <w:rPr>
          <w:rFonts w:ascii="Times New Roman" w:hAnsi="Times New Roman" w:cs="Times New Roman"/>
          <w:sz w:val="28"/>
          <w:szCs w:val="28"/>
        </w:rPr>
        <w:t>.</w:t>
      </w:r>
    </w:p>
    <w:p w14:paraId="4648DCEE" w14:textId="4D6877BB" w:rsidR="004B6BD7" w:rsidRPr="005422ED" w:rsidRDefault="004B6BD7" w:rsidP="004B6BD7">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В рамках данных целей поставлены следующие </w:t>
      </w:r>
      <w:r w:rsidRPr="005422ED">
        <w:rPr>
          <w:rFonts w:ascii="Times New Roman" w:hAnsi="Times New Roman" w:cs="Times New Roman"/>
          <w:b/>
          <w:sz w:val="28"/>
          <w:szCs w:val="28"/>
        </w:rPr>
        <w:t>задачи</w:t>
      </w:r>
      <w:r w:rsidRPr="005422ED">
        <w:rPr>
          <w:rFonts w:ascii="Times New Roman" w:hAnsi="Times New Roman" w:cs="Times New Roman"/>
          <w:sz w:val="28"/>
          <w:szCs w:val="28"/>
        </w:rPr>
        <w:t>:</w:t>
      </w:r>
    </w:p>
    <w:p w14:paraId="4F1612F1" w14:textId="4C46ECDB" w:rsidR="004B6BD7" w:rsidRPr="005422ED" w:rsidRDefault="009014EF" w:rsidP="004B6BD7">
      <w:pPr>
        <w:pStyle w:val="a6"/>
        <w:numPr>
          <w:ilvl w:val="0"/>
          <w:numId w:val="1"/>
        </w:num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lastRenderedPageBreak/>
        <w:t>к</w:t>
      </w:r>
      <w:r w:rsidR="004B6BD7" w:rsidRPr="005422ED">
        <w:rPr>
          <w:rFonts w:ascii="Times New Roman" w:hAnsi="Times New Roman" w:cs="Times New Roman"/>
          <w:sz w:val="28"/>
          <w:szCs w:val="28"/>
        </w:rPr>
        <w:t>лассифицировать нефтесервисные компании по принципу операционной деятельности и привлекаемых моделей;</w:t>
      </w:r>
    </w:p>
    <w:p w14:paraId="1CE19386" w14:textId="14515921" w:rsidR="004B6BD7" w:rsidRPr="005422ED" w:rsidRDefault="009014EF" w:rsidP="004B6BD7">
      <w:pPr>
        <w:pStyle w:val="a6"/>
        <w:numPr>
          <w:ilvl w:val="0"/>
          <w:numId w:val="1"/>
        </w:numPr>
        <w:spacing w:line="360" w:lineRule="auto"/>
        <w:jc w:val="both"/>
        <w:rPr>
          <w:rFonts w:ascii="Times New Roman" w:hAnsi="Times New Roman" w:cs="Times New Roman"/>
          <w:sz w:val="28"/>
          <w:szCs w:val="28"/>
        </w:rPr>
      </w:pPr>
      <w:r w:rsidRPr="005422ED">
        <w:rPr>
          <w:rFonts w:ascii="Times New Roman" w:hAnsi="Times New Roman" w:cs="Times New Roman"/>
          <w:iCs/>
          <w:sz w:val="28"/>
          <w:szCs w:val="28"/>
        </w:rPr>
        <w:t>в</w:t>
      </w:r>
      <w:r w:rsidR="00A05E68" w:rsidRPr="005422ED">
        <w:rPr>
          <w:rFonts w:ascii="Times New Roman" w:hAnsi="Times New Roman" w:cs="Times New Roman"/>
          <w:iCs/>
          <w:sz w:val="28"/>
          <w:szCs w:val="28"/>
        </w:rPr>
        <w:t>ыявить</w:t>
      </w:r>
      <w:r w:rsidR="00B90E8F" w:rsidRPr="005422ED">
        <w:rPr>
          <w:rFonts w:ascii="Times New Roman" w:hAnsi="Times New Roman" w:cs="Times New Roman"/>
          <w:iCs/>
          <w:sz w:val="28"/>
          <w:szCs w:val="28"/>
        </w:rPr>
        <w:t xml:space="preserve"> различия</w:t>
      </w:r>
      <w:r w:rsidR="00A05E68" w:rsidRPr="005422ED">
        <w:rPr>
          <w:rFonts w:ascii="Times New Roman" w:hAnsi="Times New Roman" w:cs="Times New Roman"/>
          <w:sz w:val="28"/>
          <w:szCs w:val="28"/>
        </w:rPr>
        <w:t xml:space="preserve"> </w:t>
      </w:r>
      <w:r w:rsidR="004B6BD7" w:rsidRPr="005422ED">
        <w:rPr>
          <w:rFonts w:ascii="Times New Roman" w:hAnsi="Times New Roman" w:cs="Times New Roman"/>
          <w:sz w:val="28"/>
          <w:szCs w:val="28"/>
        </w:rPr>
        <w:t xml:space="preserve">государственного регулирования нефтесервисной отрасли в развитых и развивающихся странах; </w:t>
      </w:r>
    </w:p>
    <w:p w14:paraId="14E54BB5" w14:textId="792EF22D" w:rsidR="004B6BD7" w:rsidRPr="005422ED" w:rsidRDefault="009014EF" w:rsidP="004B6BD7">
      <w:pPr>
        <w:pStyle w:val="a6"/>
        <w:numPr>
          <w:ilvl w:val="0"/>
          <w:numId w:val="1"/>
        </w:num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о</w:t>
      </w:r>
      <w:r w:rsidR="004B6BD7" w:rsidRPr="005422ED">
        <w:rPr>
          <w:rFonts w:ascii="Times New Roman" w:hAnsi="Times New Roman" w:cs="Times New Roman"/>
          <w:sz w:val="28"/>
          <w:szCs w:val="28"/>
        </w:rPr>
        <w:t xml:space="preserve">ценить </w:t>
      </w:r>
      <w:r w:rsidR="00A05E68" w:rsidRPr="005422ED">
        <w:rPr>
          <w:rFonts w:ascii="Times New Roman" w:hAnsi="Times New Roman" w:cs="Times New Roman"/>
          <w:sz w:val="28"/>
          <w:szCs w:val="28"/>
        </w:rPr>
        <w:t>влияние</w:t>
      </w:r>
      <w:r w:rsidR="005D2E71" w:rsidRPr="005422ED">
        <w:rPr>
          <w:rFonts w:ascii="Times New Roman" w:hAnsi="Times New Roman" w:cs="Times New Roman"/>
          <w:sz w:val="28"/>
          <w:szCs w:val="28"/>
        </w:rPr>
        <w:t xml:space="preserve"> </w:t>
      </w:r>
      <w:r w:rsidR="004B6BD7" w:rsidRPr="005422ED">
        <w:rPr>
          <w:rFonts w:ascii="Times New Roman" w:hAnsi="Times New Roman" w:cs="Times New Roman"/>
          <w:sz w:val="28"/>
          <w:szCs w:val="28"/>
        </w:rPr>
        <w:t xml:space="preserve">взаимодействия государства, энергетических и нефтесервисных компаний на развитых и развивающихся рынках, </w:t>
      </w:r>
    </w:p>
    <w:p w14:paraId="3B9611EE" w14:textId="3898628B" w:rsidR="004B6BD7" w:rsidRPr="005422ED" w:rsidRDefault="009014EF" w:rsidP="004B6BD7">
      <w:pPr>
        <w:pStyle w:val="a6"/>
        <w:numPr>
          <w:ilvl w:val="0"/>
          <w:numId w:val="1"/>
        </w:numPr>
        <w:spacing w:line="360" w:lineRule="auto"/>
        <w:jc w:val="both"/>
        <w:rPr>
          <w:rFonts w:ascii="Times New Roman" w:hAnsi="Times New Roman" w:cs="Times New Roman"/>
          <w:iCs/>
          <w:sz w:val="28"/>
          <w:szCs w:val="28"/>
        </w:rPr>
      </w:pPr>
      <w:r w:rsidRPr="005422ED">
        <w:rPr>
          <w:rFonts w:ascii="Times New Roman" w:hAnsi="Times New Roman" w:cs="Times New Roman"/>
          <w:iCs/>
          <w:sz w:val="28"/>
          <w:szCs w:val="28"/>
        </w:rPr>
        <w:t>р</w:t>
      </w:r>
      <w:r w:rsidR="00A05E68" w:rsidRPr="005422ED">
        <w:rPr>
          <w:rFonts w:ascii="Times New Roman" w:hAnsi="Times New Roman" w:cs="Times New Roman"/>
          <w:iCs/>
          <w:sz w:val="28"/>
          <w:szCs w:val="28"/>
        </w:rPr>
        <w:t xml:space="preserve">азработать </w:t>
      </w:r>
      <w:r w:rsidR="004B6BD7" w:rsidRPr="005422ED">
        <w:rPr>
          <w:rFonts w:ascii="Times New Roman" w:hAnsi="Times New Roman" w:cs="Times New Roman"/>
          <w:iCs/>
          <w:sz w:val="28"/>
          <w:szCs w:val="28"/>
        </w:rPr>
        <w:t>подходы к оценке применения операционных моделей</w:t>
      </w:r>
      <w:r w:rsidR="00A05E68" w:rsidRPr="005422ED">
        <w:rPr>
          <w:rFonts w:ascii="Times New Roman" w:hAnsi="Times New Roman" w:cs="Times New Roman"/>
          <w:iCs/>
          <w:sz w:val="28"/>
          <w:szCs w:val="28"/>
        </w:rPr>
        <w:t xml:space="preserve"> с учетом </w:t>
      </w:r>
      <w:r w:rsidR="00596F02" w:rsidRPr="005422ED">
        <w:rPr>
          <w:rFonts w:ascii="Times New Roman" w:hAnsi="Times New Roman" w:cs="Times New Roman"/>
          <w:iCs/>
          <w:sz w:val="28"/>
          <w:szCs w:val="28"/>
        </w:rPr>
        <w:t>различ</w:t>
      </w:r>
      <w:r w:rsidR="00A05E68" w:rsidRPr="005422ED">
        <w:rPr>
          <w:rFonts w:ascii="Times New Roman" w:hAnsi="Times New Roman" w:cs="Times New Roman"/>
          <w:iCs/>
          <w:sz w:val="28"/>
          <w:szCs w:val="28"/>
        </w:rPr>
        <w:t>ий, преимуществ и недостатков</w:t>
      </w:r>
      <w:r w:rsidR="005D2E71" w:rsidRPr="005422ED">
        <w:rPr>
          <w:rFonts w:ascii="Times New Roman" w:hAnsi="Times New Roman" w:cs="Times New Roman"/>
          <w:iCs/>
          <w:sz w:val="28"/>
          <w:szCs w:val="28"/>
        </w:rPr>
        <w:t xml:space="preserve"> в реализации </w:t>
      </w:r>
      <w:r w:rsidR="00656EBA" w:rsidRPr="005422ED">
        <w:rPr>
          <w:rFonts w:ascii="Times New Roman" w:hAnsi="Times New Roman" w:cs="Times New Roman"/>
          <w:iCs/>
          <w:sz w:val="28"/>
          <w:szCs w:val="28"/>
        </w:rPr>
        <w:t>проекта</w:t>
      </w:r>
      <w:r w:rsidR="004B6BD7" w:rsidRPr="005422ED">
        <w:rPr>
          <w:rFonts w:ascii="Times New Roman" w:hAnsi="Times New Roman" w:cs="Times New Roman"/>
          <w:iCs/>
          <w:sz w:val="28"/>
          <w:szCs w:val="28"/>
        </w:rPr>
        <w:t>;</w:t>
      </w:r>
    </w:p>
    <w:p w14:paraId="073AB3A0" w14:textId="57A43571" w:rsidR="004B6BD7" w:rsidRPr="005422ED" w:rsidRDefault="009014EF" w:rsidP="004B6BD7">
      <w:pPr>
        <w:pStyle w:val="a6"/>
        <w:numPr>
          <w:ilvl w:val="0"/>
          <w:numId w:val="1"/>
        </w:numPr>
        <w:spacing w:line="360" w:lineRule="auto"/>
        <w:jc w:val="both"/>
        <w:rPr>
          <w:rFonts w:ascii="Times New Roman" w:hAnsi="Times New Roman" w:cs="Times New Roman"/>
          <w:iCs/>
          <w:sz w:val="28"/>
          <w:szCs w:val="28"/>
        </w:rPr>
      </w:pPr>
      <w:r w:rsidRPr="005422ED">
        <w:rPr>
          <w:rFonts w:ascii="Times New Roman" w:hAnsi="Times New Roman" w:cs="Times New Roman"/>
          <w:iCs/>
          <w:sz w:val="28"/>
          <w:szCs w:val="28"/>
        </w:rPr>
        <w:t>оцен</w:t>
      </w:r>
      <w:r w:rsidR="00A05E68" w:rsidRPr="005422ED">
        <w:rPr>
          <w:rFonts w:ascii="Times New Roman" w:hAnsi="Times New Roman" w:cs="Times New Roman"/>
          <w:iCs/>
          <w:sz w:val="28"/>
          <w:szCs w:val="28"/>
        </w:rPr>
        <w:t xml:space="preserve">ить </w:t>
      </w:r>
      <w:r w:rsidR="004B6BD7" w:rsidRPr="005422ED">
        <w:rPr>
          <w:rFonts w:ascii="Times New Roman" w:hAnsi="Times New Roman" w:cs="Times New Roman"/>
          <w:iCs/>
          <w:sz w:val="28"/>
          <w:szCs w:val="28"/>
        </w:rPr>
        <w:t>эффект реализации проекта по добыче нефти с применением разных операционных моделей;</w:t>
      </w:r>
    </w:p>
    <w:p w14:paraId="06A44B23" w14:textId="79180678" w:rsidR="00656EBA" w:rsidRPr="005422ED" w:rsidRDefault="009014EF" w:rsidP="004B6BD7">
      <w:pPr>
        <w:pStyle w:val="a6"/>
        <w:numPr>
          <w:ilvl w:val="0"/>
          <w:numId w:val="1"/>
        </w:numPr>
        <w:spacing w:line="360" w:lineRule="auto"/>
        <w:jc w:val="both"/>
        <w:rPr>
          <w:rFonts w:ascii="Times New Roman" w:hAnsi="Times New Roman" w:cs="Times New Roman"/>
          <w:iCs/>
          <w:sz w:val="28"/>
          <w:szCs w:val="28"/>
        </w:rPr>
      </w:pPr>
      <w:r w:rsidRPr="005422ED">
        <w:rPr>
          <w:rFonts w:ascii="Times New Roman" w:hAnsi="Times New Roman" w:cs="Times New Roman"/>
          <w:iCs/>
          <w:sz w:val="28"/>
          <w:szCs w:val="28"/>
        </w:rPr>
        <w:t>п</w:t>
      </w:r>
      <w:r w:rsidR="0069236E" w:rsidRPr="005422ED">
        <w:rPr>
          <w:rFonts w:ascii="Times New Roman" w:hAnsi="Times New Roman" w:cs="Times New Roman"/>
          <w:iCs/>
          <w:sz w:val="28"/>
          <w:szCs w:val="28"/>
        </w:rPr>
        <w:t xml:space="preserve">остроить и проанализировать </w:t>
      </w:r>
      <w:r w:rsidR="00656EBA" w:rsidRPr="005422ED">
        <w:rPr>
          <w:rFonts w:ascii="Times New Roman" w:hAnsi="Times New Roman" w:cs="Times New Roman"/>
          <w:iCs/>
          <w:sz w:val="28"/>
          <w:szCs w:val="28"/>
        </w:rPr>
        <w:t>многофакторн</w:t>
      </w:r>
      <w:r w:rsidR="0069236E" w:rsidRPr="005422ED">
        <w:rPr>
          <w:rFonts w:ascii="Times New Roman" w:hAnsi="Times New Roman" w:cs="Times New Roman"/>
          <w:iCs/>
          <w:sz w:val="28"/>
          <w:szCs w:val="28"/>
        </w:rPr>
        <w:t>ую</w:t>
      </w:r>
      <w:r w:rsidR="00656EBA" w:rsidRPr="005422ED">
        <w:rPr>
          <w:rFonts w:ascii="Times New Roman" w:hAnsi="Times New Roman" w:cs="Times New Roman"/>
          <w:iCs/>
          <w:sz w:val="28"/>
          <w:szCs w:val="28"/>
        </w:rPr>
        <w:t xml:space="preserve"> модел</w:t>
      </w:r>
      <w:r w:rsidR="0069236E" w:rsidRPr="005422ED">
        <w:rPr>
          <w:rFonts w:ascii="Times New Roman" w:hAnsi="Times New Roman" w:cs="Times New Roman"/>
          <w:iCs/>
          <w:sz w:val="28"/>
          <w:szCs w:val="28"/>
        </w:rPr>
        <w:t>ь, учитывающую особенности нефтесервисных проектов</w:t>
      </w:r>
      <w:r w:rsidR="00656EBA" w:rsidRPr="005422ED">
        <w:rPr>
          <w:rFonts w:ascii="Times New Roman" w:hAnsi="Times New Roman" w:cs="Times New Roman"/>
          <w:iCs/>
          <w:sz w:val="28"/>
          <w:szCs w:val="28"/>
        </w:rPr>
        <w:t>;</w:t>
      </w:r>
    </w:p>
    <w:p w14:paraId="0406FE47" w14:textId="56500795" w:rsidR="004B6BD7" w:rsidRPr="005422ED" w:rsidRDefault="009014EF" w:rsidP="004B6BD7">
      <w:pPr>
        <w:pStyle w:val="a6"/>
        <w:numPr>
          <w:ilvl w:val="0"/>
          <w:numId w:val="1"/>
        </w:numPr>
        <w:spacing w:line="360" w:lineRule="auto"/>
        <w:jc w:val="both"/>
        <w:rPr>
          <w:rFonts w:ascii="Times New Roman" w:hAnsi="Times New Roman" w:cs="Times New Roman"/>
          <w:iCs/>
          <w:sz w:val="28"/>
          <w:szCs w:val="28"/>
        </w:rPr>
      </w:pPr>
      <w:r w:rsidRPr="005422ED">
        <w:rPr>
          <w:rFonts w:ascii="Times New Roman" w:hAnsi="Times New Roman" w:cs="Times New Roman"/>
          <w:iCs/>
          <w:sz w:val="28"/>
          <w:szCs w:val="28"/>
        </w:rPr>
        <w:t>р</w:t>
      </w:r>
      <w:r w:rsidR="004B6BD7" w:rsidRPr="005422ED">
        <w:rPr>
          <w:rFonts w:ascii="Times New Roman" w:hAnsi="Times New Roman" w:cs="Times New Roman"/>
          <w:iCs/>
          <w:sz w:val="28"/>
          <w:szCs w:val="28"/>
        </w:rPr>
        <w:t xml:space="preserve">азработать рекомендации для </w:t>
      </w:r>
      <w:r w:rsidR="00A05E68" w:rsidRPr="005422ED">
        <w:rPr>
          <w:rFonts w:ascii="Times New Roman" w:hAnsi="Times New Roman" w:cs="Times New Roman"/>
          <w:iCs/>
          <w:sz w:val="28"/>
          <w:szCs w:val="28"/>
        </w:rPr>
        <w:t xml:space="preserve">национальных </w:t>
      </w:r>
      <w:r w:rsidR="004B6BD7" w:rsidRPr="005422ED">
        <w:rPr>
          <w:rFonts w:ascii="Times New Roman" w:hAnsi="Times New Roman" w:cs="Times New Roman"/>
          <w:iCs/>
          <w:sz w:val="28"/>
          <w:szCs w:val="28"/>
        </w:rPr>
        <w:t xml:space="preserve">энергетических </w:t>
      </w:r>
      <w:r w:rsidR="00A05E68" w:rsidRPr="005422ED">
        <w:rPr>
          <w:rFonts w:ascii="Times New Roman" w:hAnsi="Times New Roman" w:cs="Times New Roman"/>
          <w:iCs/>
          <w:sz w:val="28"/>
          <w:szCs w:val="28"/>
        </w:rPr>
        <w:t xml:space="preserve">и международных нефтесервисных компаний </w:t>
      </w:r>
      <w:r w:rsidR="004B6BD7" w:rsidRPr="005422ED">
        <w:rPr>
          <w:rFonts w:ascii="Times New Roman" w:hAnsi="Times New Roman" w:cs="Times New Roman"/>
          <w:iCs/>
          <w:sz w:val="28"/>
          <w:szCs w:val="28"/>
        </w:rPr>
        <w:t>по выбору операционной модели нефтесервисной компании при пр</w:t>
      </w:r>
      <w:r w:rsidR="00A05E68" w:rsidRPr="005422ED">
        <w:rPr>
          <w:rFonts w:ascii="Times New Roman" w:hAnsi="Times New Roman" w:cs="Times New Roman"/>
          <w:iCs/>
          <w:sz w:val="28"/>
          <w:szCs w:val="28"/>
        </w:rPr>
        <w:t>ивлечении к работе над проектом.</w:t>
      </w:r>
    </w:p>
    <w:p w14:paraId="4F32CB49" w14:textId="6966BAE2" w:rsidR="004B6BD7" w:rsidRPr="005422ED" w:rsidRDefault="00935BE5" w:rsidP="004B6BD7">
      <w:pPr>
        <w:spacing w:line="360" w:lineRule="auto"/>
        <w:jc w:val="both"/>
        <w:rPr>
          <w:rFonts w:ascii="Times New Roman" w:hAnsi="Times New Roman" w:cs="Times New Roman"/>
          <w:iCs/>
          <w:sz w:val="28"/>
          <w:szCs w:val="28"/>
        </w:rPr>
      </w:pPr>
      <w:r w:rsidRPr="005422ED">
        <w:rPr>
          <w:rFonts w:ascii="Times New Roman" w:hAnsi="Times New Roman" w:cs="Times New Roman"/>
          <w:b/>
          <w:sz w:val="28"/>
          <w:szCs w:val="28"/>
        </w:rPr>
        <w:t>Степень разработанности темы исследования</w:t>
      </w:r>
    </w:p>
    <w:p w14:paraId="19B94518" w14:textId="3218ED15" w:rsidR="00E15B1B" w:rsidRPr="005422ED" w:rsidRDefault="009014EF" w:rsidP="004B6BD7">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Вопросы экономики и управления нефтесервисной </w:t>
      </w:r>
      <w:r w:rsidR="00E15B1B" w:rsidRPr="005422ED">
        <w:rPr>
          <w:rFonts w:ascii="Times New Roman" w:hAnsi="Times New Roman" w:cs="Times New Roman"/>
          <w:sz w:val="28"/>
          <w:szCs w:val="28"/>
        </w:rPr>
        <w:t>индустри</w:t>
      </w:r>
      <w:r w:rsidRPr="005422ED">
        <w:rPr>
          <w:rFonts w:ascii="Times New Roman" w:hAnsi="Times New Roman" w:cs="Times New Roman"/>
          <w:sz w:val="28"/>
          <w:szCs w:val="28"/>
        </w:rPr>
        <w:t xml:space="preserve">ей </w:t>
      </w:r>
      <w:r w:rsidR="00E15B1B" w:rsidRPr="005422ED">
        <w:rPr>
          <w:rFonts w:ascii="Times New Roman" w:hAnsi="Times New Roman" w:cs="Times New Roman"/>
          <w:sz w:val="28"/>
          <w:szCs w:val="28"/>
        </w:rPr>
        <w:t>нашл</w:t>
      </w:r>
      <w:r w:rsidRPr="005422ED">
        <w:rPr>
          <w:rFonts w:ascii="Times New Roman" w:hAnsi="Times New Roman" w:cs="Times New Roman"/>
          <w:sz w:val="28"/>
          <w:szCs w:val="28"/>
        </w:rPr>
        <w:t>и</w:t>
      </w:r>
      <w:r w:rsidR="00E15B1B" w:rsidRPr="005422ED">
        <w:rPr>
          <w:rFonts w:ascii="Times New Roman" w:hAnsi="Times New Roman" w:cs="Times New Roman"/>
          <w:sz w:val="28"/>
          <w:szCs w:val="28"/>
        </w:rPr>
        <w:t xml:space="preserve"> место в трудах многих исследователей. Большинство отечественных исследований нефтесервисной отрасли </w:t>
      </w:r>
      <w:r w:rsidR="0089533B" w:rsidRPr="005422ED">
        <w:rPr>
          <w:rFonts w:ascii="Times New Roman" w:hAnsi="Times New Roman" w:cs="Times New Roman"/>
          <w:sz w:val="28"/>
          <w:szCs w:val="28"/>
        </w:rPr>
        <w:t xml:space="preserve">сфокусировано на анализе и структуре мирового и российского нефтесервисного рынка, основным драйверам, проблемам и вызовам отрасли, перспективам развития и роли в мировом энергетическом рынке. В частности, </w:t>
      </w:r>
      <w:r w:rsidRPr="005422ED">
        <w:rPr>
          <w:rFonts w:ascii="Times New Roman" w:hAnsi="Times New Roman" w:cs="Times New Roman"/>
          <w:sz w:val="28"/>
          <w:szCs w:val="28"/>
        </w:rPr>
        <w:t xml:space="preserve">Д.Г. </w:t>
      </w:r>
      <w:r w:rsidR="0089533B" w:rsidRPr="005422ED">
        <w:rPr>
          <w:rFonts w:ascii="Times New Roman" w:hAnsi="Times New Roman" w:cs="Times New Roman"/>
          <w:sz w:val="28"/>
          <w:szCs w:val="28"/>
        </w:rPr>
        <w:t xml:space="preserve">Александров в статье «Нефтесервис: консолидация и новые игроки» приводит анализ изменения структуры рынка нефтесервиса, а также выделяет международные нефтесервисные компании как важнейших игроков рынка нефтесервисных услуг. </w:t>
      </w:r>
      <w:r w:rsidRPr="005422ED">
        <w:rPr>
          <w:rFonts w:ascii="Times New Roman" w:hAnsi="Times New Roman" w:cs="Times New Roman"/>
          <w:sz w:val="28"/>
          <w:szCs w:val="28"/>
        </w:rPr>
        <w:t xml:space="preserve">К. </w:t>
      </w:r>
      <w:r w:rsidR="0089533B" w:rsidRPr="005422ED">
        <w:rPr>
          <w:rFonts w:ascii="Times New Roman" w:hAnsi="Times New Roman" w:cs="Times New Roman"/>
          <w:sz w:val="28"/>
          <w:szCs w:val="28"/>
        </w:rPr>
        <w:t>Баскаев фокусируется на современной роли нефтесервиса в рамках нефтегазовой отрасли как стимула повышения конкурентоспособности нефтяной промышленности. Профессор Э.А.</w:t>
      </w:r>
      <w:r w:rsidRPr="005422ED">
        <w:rPr>
          <w:rFonts w:ascii="Times New Roman" w:hAnsi="Times New Roman" w:cs="Times New Roman"/>
          <w:sz w:val="28"/>
          <w:szCs w:val="28"/>
        </w:rPr>
        <w:t xml:space="preserve"> </w:t>
      </w:r>
      <w:r w:rsidR="0089533B" w:rsidRPr="005422ED">
        <w:rPr>
          <w:rFonts w:ascii="Times New Roman" w:hAnsi="Times New Roman" w:cs="Times New Roman"/>
          <w:sz w:val="28"/>
          <w:szCs w:val="28"/>
        </w:rPr>
        <w:t>Крайнова</w:t>
      </w:r>
      <w:r w:rsidRPr="005422ED">
        <w:rPr>
          <w:rFonts w:ascii="Times New Roman" w:hAnsi="Times New Roman" w:cs="Times New Roman"/>
          <w:sz w:val="28"/>
          <w:szCs w:val="28"/>
        </w:rPr>
        <w:t xml:space="preserve"> </w:t>
      </w:r>
      <w:r w:rsidR="0089533B" w:rsidRPr="005422ED">
        <w:rPr>
          <w:rFonts w:ascii="Times New Roman" w:hAnsi="Times New Roman" w:cs="Times New Roman"/>
          <w:sz w:val="28"/>
          <w:szCs w:val="28"/>
        </w:rPr>
        <w:t xml:space="preserve">выделяет основные проблемы нефтесервисных компаний и </w:t>
      </w:r>
      <w:r w:rsidR="0089533B" w:rsidRPr="005422ED">
        <w:rPr>
          <w:rFonts w:ascii="Times New Roman" w:hAnsi="Times New Roman" w:cs="Times New Roman"/>
          <w:sz w:val="28"/>
          <w:szCs w:val="28"/>
        </w:rPr>
        <w:lastRenderedPageBreak/>
        <w:t>приоритеты развития операционной деятельности, в частности на российском рынке. Также, Э.А. Крайнова и А.В. Кузнецов в статье «Оценка потенциала конкурентоспособности российского рынка геофизических услуг» выделяют отдельные сегменты нефтесервисного бизнеса как наиболее доходные и перспективные с точки зрения прибыльности проектов и объемов работ.</w:t>
      </w:r>
    </w:p>
    <w:p w14:paraId="6602FD0E" w14:textId="77777777" w:rsidR="0089533B" w:rsidRPr="005422ED" w:rsidRDefault="0089533B" w:rsidP="0089533B">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Несмотря на достаточно высокую проработанность, накопленная информационная база требует доработки. Рынок нефтесервисных услуг претерпевает структурные изменения: меняются сегменты бизнеса, нефтесервисные компании прибегают к изменению стратегий операционной деятельности ввиду волатильности цен на нефть, спроса на нефтесервисные услуги и др. Если исторически движущими силами международных и отечественных нефтесервисных компаний являлись сегменты бурения и цементажа, то сегодня наиболее сильно и быстро развивается рынок капитального и текущего ремонта скважин, компании все больше увеличивают активность на рынке сейсмических исследований. Нефтесервисные компании стараются переходить от общих принципов работы к более точечному подходу и комплексности услуг. Данные тенденции являются определяющими в отношении роли и места нефтесервисного бизнеса в ключевой для национальной экономики индустрии и должны быть детально рассмотрены и проанализированы.</w:t>
      </w:r>
    </w:p>
    <w:p w14:paraId="1671067A" w14:textId="60AC93D8" w:rsidR="00F35805" w:rsidRPr="005422ED" w:rsidRDefault="0089533B" w:rsidP="007E1A5A">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Попытки исследовать операционные модели также нашли отражение в трудах отечественных и зарубежных исследователей.</w:t>
      </w:r>
      <w:r w:rsidR="007E1A5A" w:rsidRPr="005422ED">
        <w:rPr>
          <w:rFonts w:ascii="Times New Roman" w:hAnsi="Times New Roman" w:cs="Times New Roman"/>
          <w:sz w:val="28"/>
          <w:szCs w:val="28"/>
        </w:rPr>
        <w:t xml:space="preserve"> </w:t>
      </w:r>
      <w:r w:rsidR="009014EF" w:rsidRPr="005422ED">
        <w:rPr>
          <w:rFonts w:ascii="Times New Roman" w:hAnsi="Times New Roman" w:cs="Times New Roman"/>
          <w:sz w:val="28"/>
          <w:szCs w:val="28"/>
        </w:rPr>
        <w:t xml:space="preserve">Д.Ю </w:t>
      </w:r>
      <w:r w:rsidR="007E1A5A" w:rsidRPr="005422ED">
        <w:rPr>
          <w:rFonts w:ascii="Times New Roman" w:hAnsi="Times New Roman" w:cs="Times New Roman"/>
          <w:sz w:val="28"/>
          <w:szCs w:val="28"/>
        </w:rPr>
        <w:t>Лебедев в своих исследованиях, в частности в статье «Основные тенденции развития нефтесервисного рынка» предлагает новую модель сотрудничества добывающих и нефтесервисных компаний, основывающейся не только на управлении подрядчиками и цене услуг, но и управлению на основе качества парка, технологий, инвестиционных планов и обязательств нефтесервисных компаний.</w:t>
      </w:r>
      <w:r w:rsidR="00F35805" w:rsidRPr="005422ED">
        <w:rPr>
          <w:rFonts w:ascii="Times New Roman" w:hAnsi="Times New Roman" w:cs="Times New Roman"/>
          <w:sz w:val="28"/>
          <w:szCs w:val="28"/>
        </w:rPr>
        <w:t xml:space="preserve">  В трудах отечественных экономистов </w:t>
      </w:r>
      <w:r w:rsidR="009014EF" w:rsidRPr="005422ED">
        <w:rPr>
          <w:rFonts w:ascii="Times New Roman" w:hAnsi="Times New Roman" w:cs="Times New Roman"/>
          <w:sz w:val="28"/>
          <w:szCs w:val="28"/>
        </w:rPr>
        <w:t xml:space="preserve">В.Л. </w:t>
      </w:r>
      <w:r w:rsidR="00F35805" w:rsidRPr="005422ED">
        <w:rPr>
          <w:rFonts w:ascii="Times New Roman" w:hAnsi="Times New Roman" w:cs="Times New Roman"/>
          <w:sz w:val="28"/>
          <w:szCs w:val="28"/>
        </w:rPr>
        <w:t xml:space="preserve">Уланова, </w:t>
      </w:r>
      <w:r w:rsidR="009014EF" w:rsidRPr="005422ED">
        <w:rPr>
          <w:rFonts w:ascii="Times New Roman" w:hAnsi="Times New Roman" w:cs="Times New Roman"/>
          <w:sz w:val="28"/>
          <w:szCs w:val="28"/>
        </w:rPr>
        <w:t xml:space="preserve">С.Ю. </w:t>
      </w:r>
      <w:r w:rsidR="00F35805" w:rsidRPr="005422ED">
        <w:rPr>
          <w:rFonts w:ascii="Times New Roman" w:hAnsi="Times New Roman" w:cs="Times New Roman"/>
          <w:sz w:val="28"/>
          <w:szCs w:val="28"/>
        </w:rPr>
        <w:t xml:space="preserve">Ковалева исследуются основные методы оценки стоимости компаний и проектов, </w:t>
      </w:r>
      <w:r w:rsidR="00F35805" w:rsidRPr="005422ED">
        <w:rPr>
          <w:rFonts w:ascii="Times New Roman" w:hAnsi="Times New Roman" w:cs="Times New Roman"/>
          <w:sz w:val="28"/>
          <w:szCs w:val="28"/>
        </w:rPr>
        <w:lastRenderedPageBreak/>
        <w:t xml:space="preserve">выделяются ключевые показатели и тенденции развития нефтегазового сектора. В книге </w:t>
      </w:r>
      <w:r w:rsidR="009014EF" w:rsidRPr="005422ED">
        <w:rPr>
          <w:rFonts w:ascii="Times New Roman" w:hAnsi="Times New Roman" w:cs="Times New Roman"/>
          <w:sz w:val="28"/>
          <w:szCs w:val="28"/>
        </w:rPr>
        <w:t xml:space="preserve">В.А. </w:t>
      </w:r>
      <w:r w:rsidR="00F35805" w:rsidRPr="005422ED">
        <w:rPr>
          <w:rFonts w:ascii="Times New Roman" w:hAnsi="Times New Roman" w:cs="Times New Roman"/>
          <w:sz w:val="28"/>
          <w:szCs w:val="28"/>
        </w:rPr>
        <w:t xml:space="preserve">Крюкова и </w:t>
      </w:r>
      <w:r w:rsidR="009014EF" w:rsidRPr="005422ED">
        <w:rPr>
          <w:rFonts w:ascii="Times New Roman" w:hAnsi="Times New Roman" w:cs="Times New Roman"/>
          <w:sz w:val="28"/>
          <w:szCs w:val="28"/>
        </w:rPr>
        <w:t xml:space="preserve">Ю.К. </w:t>
      </w:r>
      <w:r w:rsidR="00F35805" w:rsidRPr="005422ED">
        <w:rPr>
          <w:rFonts w:ascii="Times New Roman" w:hAnsi="Times New Roman" w:cs="Times New Roman"/>
          <w:sz w:val="28"/>
          <w:szCs w:val="28"/>
        </w:rPr>
        <w:t>Шафранка «Нефтегазовый сектор: трудный путь к многообразию» основное внимание уделяется стратегическому развитию национальной нефтегазовой индустрии, а также фокусируется на технологичном нефтесервисе как решении важнейших проблем добывающей отрасли в России.</w:t>
      </w:r>
      <w:r w:rsidR="007E1A5A" w:rsidRPr="005422ED">
        <w:rPr>
          <w:rFonts w:ascii="Times New Roman" w:hAnsi="Times New Roman" w:cs="Times New Roman"/>
          <w:sz w:val="28"/>
          <w:szCs w:val="28"/>
        </w:rPr>
        <w:t xml:space="preserve"> </w:t>
      </w:r>
      <w:r w:rsidR="009014EF" w:rsidRPr="005422ED">
        <w:rPr>
          <w:rFonts w:ascii="Times New Roman" w:hAnsi="Times New Roman" w:cs="Times New Roman"/>
          <w:sz w:val="28"/>
          <w:szCs w:val="28"/>
        </w:rPr>
        <w:t xml:space="preserve">И.Д. </w:t>
      </w:r>
      <w:r w:rsidR="007E1A5A" w:rsidRPr="005422ED">
        <w:rPr>
          <w:rFonts w:ascii="Times New Roman" w:hAnsi="Times New Roman" w:cs="Times New Roman"/>
          <w:sz w:val="28"/>
          <w:szCs w:val="28"/>
        </w:rPr>
        <w:t>Котляров</w:t>
      </w:r>
      <w:r w:rsidR="009014EF" w:rsidRPr="005422ED">
        <w:rPr>
          <w:rFonts w:ascii="Times New Roman" w:hAnsi="Times New Roman" w:cs="Times New Roman"/>
          <w:sz w:val="28"/>
          <w:szCs w:val="28"/>
        </w:rPr>
        <w:t xml:space="preserve"> </w:t>
      </w:r>
      <w:r w:rsidR="007E1A5A" w:rsidRPr="005422ED">
        <w:rPr>
          <w:rFonts w:ascii="Times New Roman" w:hAnsi="Times New Roman" w:cs="Times New Roman"/>
          <w:sz w:val="28"/>
          <w:szCs w:val="28"/>
        </w:rPr>
        <w:t xml:space="preserve">исследует модель аутсорсинга нефтесервисных услуг, а также приводит экономического эффекта от использования аутсорсинга в нефтегазовой отрасли. </w:t>
      </w:r>
      <w:r w:rsidR="009014EF" w:rsidRPr="005422ED">
        <w:rPr>
          <w:rFonts w:ascii="Times New Roman" w:hAnsi="Times New Roman" w:cs="Times New Roman"/>
          <w:sz w:val="28"/>
          <w:szCs w:val="28"/>
        </w:rPr>
        <w:t>И.Б.</w:t>
      </w:r>
      <w:r w:rsidR="004518EE" w:rsidRPr="005422ED">
        <w:rPr>
          <w:rFonts w:ascii="Times New Roman" w:hAnsi="Times New Roman" w:cs="Times New Roman"/>
          <w:sz w:val="28"/>
          <w:szCs w:val="28"/>
        </w:rPr>
        <w:t xml:space="preserve">Сергеев, </w:t>
      </w:r>
      <w:r w:rsidR="009014EF" w:rsidRPr="005422ED">
        <w:rPr>
          <w:rFonts w:ascii="Times New Roman" w:hAnsi="Times New Roman" w:cs="Times New Roman"/>
          <w:sz w:val="28"/>
          <w:szCs w:val="28"/>
        </w:rPr>
        <w:t xml:space="preserve">А.Е. </w:t>
      </w:r>
      <w:r w:rsidR="004518EE" w:rsidRPr="005422ED">
        <w:rPr>
          <w:rFonts w:ascii="Times New Roman" w:hAnsi="Times New Roman" w:cs="Times New Roman"/>
          <w:sz w:val="28"/>
          <w:szCs w:val="28"/>
        </w:rPr>
        <w:t>Череповицын</w:t>
      </w:r>
      <w:r w:rsidR="009014EF" w:rsidRPr="005422ED">
        <w:rPr>
          <w:rFonts w:ascii="Times New Roman" w:hAnsi="Times New Roman" w:cs="Times New Roman"/>
          <w:sz w:val="28"/>
          <w:szCs w:val="28"/>
        </w:rPr>
        <w:t xml:space="preserve">, Т.В. </w:t>
      </w:r>
      <w:proofErr w:type="gramStart"/>
      <w:r w:rsidR="004518EE" w:rsidRPr="005422ED">
        <w:rPr>
          <w:rFonts w:ascii="Times New Roman" w:hAnsi="Times New Roman" w:cs="Times New Roman"/>
          <w:sz w:val="28"/>
          <w:szCs w:val="28"/>
        </w:rPr>
        <w:t xml:space="preserve">Пономаренко </w:t>
      </w:r>
      <w:r w:rsidR="0096025F" w:rsidRPr="005422ED">
        <w:rPr>
          <w:rFonts w:ascii="Times New Roman" w:hAnsi="Times New Roman" w:cs="Times New Roman"/>
          <w:sz w:val="28"/>
          <w:szCs w:val="28"/>
        </w:rPr>
        <w:t xml:space="preserve"> </w:t>
      </w:r>
      <w:r w:rsidR="004518EE" w:rsidRPr="005422ED">
        <w:rPr>
          <w:rFonts w:ascii="Times New Roman" w:hAnsi="Times New Roman" w:cs="Times New Roman"/>
          <w:sz w:val="28"/>
          <w:szCs w:val="28"/>
        </w:rPr>
        <w:t>на</w:t>
      </w:r>
      <w:proofErr w:type="gramEnd"/>
      <w:r w:rsidR="004518EE" w:rsidRPr="005422ED">
        <w:rPr>
          <w:rFonts w:ascii="Times New Roman" w:hAnsi="Times New Roman" w:cs="Times New Roman"/>
          <w:sz w:val="28"/>
          <w:szCs w:val="28"/>
        </w:rPr>
        <w:t xml:space="preserve"> примере нефтегазовой и горно-добывающей промышленности исследуют подходы к повышению конкурентоспособности и инновационного потенциала отечественных сервисных компаний и факторы, способствующие этому. </w:t>
      </w:r>
    </w:p>
    <w:p w14:paraId="5827EB54" w14:textId="544F22B4" w:rsidR="003D2F4F" w:rsidRPr="005422ED" w:rsidRDefault="003D2F4F" w:rsidP="007E1A5A">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Данные исследования требуют дополнения и актуализации. Современные вызовы нефтегазовой отрасли требуют от энергетических компаний повышения эффективности и снижения себестоимости добычи нефти. Усл</w:t>
      </w:r>
      <w:r w:rsidR="00F35805" w:rsidRPr="005422ED">
        <w:rPr>
          <w:rFonts w:ascii="Times New Roman" w:hAnsi="Times New Roman" w:cs="Times New Roman"/>
          <w:sz w:val="28"/>
          <w:szCs w:val="28"/>
        </w:rPr>
        <w:t>уги н</w:t>
      </w:r>
      <w:r w:rsidRPr="005422ED">
        <w:rPr>
          <w:rFonts w:ascii="Times New Roman" w:hAnsi="Times New Roman" w:cs="Times New Roman"/>
          <w:sz w:val="28"/>
          <w:szCs w:val="28"/>
        </w:rPr>
        <w:t>ефтесервисны</w:t>
      </w:r>
      <w:r w:rsidR="00F35805" w:rsidRPr="005422ED">
        <w:rPr>
          <w:rFonts w:ascii="Times New Roman" w:hAnsi="Times New Roman" w:cs="Times New Roman"/>
          <w:sz w:val="28"/>
          <w:szCs w:val="28"/>
        </w:rPr>
        <w:t xml:space="preserve">х </w:t>
      </w:r>
      <w:r w:rsidRPr="005422ED">
        <w:rPr>
          <w:rFonts w:ascii="Times New Roman" w:hAnsi="Times New Roman" w:cs="Times New Roman"/>
          <w:sz w:val="28"/>
          <w:szCs w:val="28"/>
        </w:rPr>
        <w:t>компани</w:t>
      </w:r>
      <w:r w:rsidR="00F35805" w:rsidRPr="005422ED">
        <w:rPr>
          <w:rFonts w:ascii="Times New Roman" w:hAnsi="Times New Roman" w:cs="Times New Roman"/>
          <w:sz w:val="28"/>
          <w:szCs w:val="28"/>
        </w:rPr>
        <w:t>й</w:t>
      </w:r>
      <w:r w:rsidRPr="005422ED">
        <w:rPr>
          <w:rFonts w:ascii="Times New Roman" w:hAnsi="Times New Roman" w:cs="Times New Roman"/>
          <w:sz w:val="28"/>
          <w:szCs w:val="28"/>
        </w:rPr>
        <w:t xml:space="preserve"> как основны</w:t>
      </w:r>
      <w:r w:rsidR="00F35805" w:rsidRPr="005422ED">
        <w:rPr>
          <w:rFonts w:ascii="Times New Roman" w:hAnsi="Times New Roman" w:cs="Times New Roman"/>
          <w:sz w:val="28"/>
          <w:szCs w:val="28"/>
        </w:rPr>
        <w:t>х</w:t>
      </w:r>
      <w:r w:rsidRPr="005422ED">
        <w:rPr>
          <w:rFonts w:ascii="Times New Roman" w:hAnsi="Times New Roman" w:cs="Times New Roman"/>
          <w:sz w:val="28"/>
          <w:szCs w:val="28"/>
        </w:rPr>
        <w:t xml:space="preserve"> технологически</w:t>
      </w:r>
      <w:r w:rsidR="00F35805" w:rsidRPr="005422ED">
        <w:rPr>
          <w:rFonts w:ascii="Times New Roman" w:hAnsi="Times New Roman" w:cs="Times New Roman"/>
          <w:sz w:val="28"/>
          <w:szCs w:val="28"/>
        </w:rPr>
        <w:t>х</w:t>
      </w:r>
      <w:r w:rsidRPr="005422ED">
        <w:rPr>
          <w:rFonts w:ascii="Times New Roman" w:hAnsi="Times New Roman" w:cs="Times New Roman"/>
          <w:sz w:val="28"/>
          <w:szCs w:val="28"/>
        </w:rPr>
        <w:t xml:space="preserve"> партнер</w:t>
      </w:r>
      <w:r w:rsidR="00F35805" w:rsidRPr="005422ED">
        <w:rPr>
          <w:rFonts w:ascii="Times New Roman" w:hAnsi="Times New Roman" w:cs="Times New Roman"/>
          <w:sz w:val="28"/>
          <w:szCs w:val="28"/>
        </w:rPr>
        <w:t>ов</w:t>
      </w:r>
      <w:r w:rsidRPr="005422ED">
        <w:rPr>
          <w:rFonts w:ascii="Times New Roman" w:hAnsi="Times New Roman" w:cs="Times New Roman"/>
          <w:sz w:val="28"/>
          <w:szCs w:val="28"/>
        </w:rPr>
        <w:t xml:space="preserve"> нефтегазовой отрасли, являются важнейшим фактором в структуре себестоимости добычи нефти и газа. Прямая зависимость от цен на нефть и потребность в услугах от энергетических компаний как заказчиков вынуждает нефтесервисные компании быть гибкими и диверсифицировать операционные модели на рынке, формирую портфели услуг исходя из потребностей клиентов. Энергетические компании стоят перед выбором использования своих сервисных подразделений, частичной передачи сервисных функций на аутсорсинг, полного аутсорсинга сервисных услуг и других моделей. На рынке сформировалась потребность к исследованию операционных моделей нефтесервисных компании, анализа и сравнения эффективности их использования в зависимости от сценариев </w:t>
      </w:r>
      <w:r w:rsidR="00F35805" w:rsidRPr="005422ED">
        <w:rPr>
          <w:rFonts w:ascii="Times New Roman" w:hAnsi="Times New Roman" w:cs="Times New Roman"/>
          <w:sz w:val="28"/>
          <w:szCs w:val="28"/>
        </w:rPr>
        <w:t xml:space="preserve">организации работ по добыче нефти. </w:t>
      </w:r>
    </w:p>
    <w:p w14:paraId="18433989" w14:textId="114502EF" w:rsidR="0089533B" w:rsidRPr="005422ED" w:rsidRDefault="004B5D3C" w:rsidP="004B6BD7">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lastRenderedPageBreak/>
        <w:t xml:space="preserve">В работах зарубежный исследователей присутствует ряд методик оценок сценариев операционной деятельности добывающих компаний на российском рынке с (без) аутсорсинга. В трудах экономиста L. Trigeorgis “Real Options — Managerial Flexibility and Strategy in Resource Allocation” рассматривается подход использования реальных опционов для принятия решения об инвестировании. В работах таких исследователей </w:t>
      </w:r>
      <w:proofErr w:type="gramStart"/>
      <w:r w:rsidRPr="005422ED">
        <w:rPr>
          <w:rFonts w:ascii="Times New Roman" w:hAnsi="Times New Roman" w:cs="Times New Roman"/>
          <w:sz w:val="28"/>
          <w:szCs w:val="28"/>
        </w:rPr>
        <w:t>как  V.</w:t>
      </w:r>
      <w:proofErr w:type="gramEnd"/>
      <w:r w:rsidRPr="005422ED">
        <w:rPr>
          <w:rFonts w:ascii="Times New Roman" w:hAnsi="Times New Roman" w:cs="Times New Roman"/>
          <w:sz w:val="28"/>
          <w:szCs w:val="28"/>
        </w:rPr>
        <w:t xml:space="preserve"> Rudenno “The Mining Valuation Handbook: Mining and Energy Valuation for Investors and Management” исследуются различные методологии и техники оценки привлекательности разработки нефтегазовых активов, а также ключевые направления анализа данной индустрии. G. Salahor статье “Implications of output price risk and operating leverage for the evaluation of petroleum development projects” фокусируется на различиях результатов оценки одного и того же сценария операционной деятельности компаний разными методиками, анализе рентабельности привлечения крупнейших международных нефтесервисных компаний для разработке нефтегазовых месторождений,  а также выгодах и преимуществах использования данных корпораций для добывающего бизнеса и нефтегазовой отрасли в целом.  </w:t>
      </w:r>
    </w:p>
    <w:p w14:paraId="56B0A65B" w14:textId="5C4F6E13" w:rsidR="00BB7F7C" w:rsidRPr="005422ED" w:rsidRDefault="00F35805" w:rsidP="004B6BD7">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Необходимо отметить, что в данных исследованиях авторы склонялись к использованию классической методики DCF. Оценка привлекательности одного проекта более современными методиками, например, методом MAP может привести к иным результатам ввиду различий в методологии и аппарате моделей. Данные исследования строились на анализе месторождений в странах с нефтью другого качества, например, месторождениях Канады, но в то же время не было попыток имплементировать накопленный опыт на российский нефтегазовый рынок. В рамках данного исследования будет построена модель оценки привлекательности использования нефтесервисных услуг для национальных добывающих компаний на примере одного из российских активов, а также будет проанализировано несколько сценариев различных долей аутсорсинга несколькими методами, выведены преимущества и недостатки и сформированы рекомендации в отношении </w:t>
      </w:r>
      <w:r w:rsidRPr="005422ED">
        <w:rPr>
          <w:rFonts w:ascii="Times New Roman" w:hAnsi="Times New Roman" w:cs="Times New Roman"/>
          <w:sz w:val="28"/>
          <w:szCs w:val="28"/>
        </w:rPr>
        <w:lastRenderedPageBreak/>
        <w:t>привлечения международного нефтесервисного бизнеса в развитию нефтегазовых активов России.</w:t>
      </w:r>
    </w:p>
    <w:p w14:paraId="7C141DAD" w14:textId="77777777" w:rsidR="005422ED" w:rsidRDefault="005422ED" w:rsidP="00495E20">
      <w:pPr>
        <w:spacing w:line="360" w:lineRule="auto"/>
        <w:jc w:val="both"/>
        <w:rPr>
          <w:rFonts w:ascii="Times New Roman" w:hAnsi="Times New Roman" w:cs="Times New Roman"/>
          <w:sz w:val="28"/>
          <w:szCs w:val="28"/>
        </w:rPr>
      </w:pPr>
    </w:p>
    <w:p w14:paraId="0A861925" w14:textId="574B3A9B" w:rsidR="00EA6391" w:rsidRPr="005422ED" w:rsidRDefault="00EA6391" w:rsidP="00495E20">
      <w:pPr>
        <w:spacing w:line="360" w:lineRule="auto"/>
        <w:jc w:val="both"/>
        <w:rPr>
          <w:rFonts w:ascii="Times New Roman" w:hAnsi="Times New Roman" w:cs="Times New Roman"/>
          <w:bCs/>
          <w:i/>
          <w:sz w:val="28"/>
          <w:szCs w:val="28"/>
        </w:rPr>
      </w:pPr>
      <w:r w:rsidRPr="005422ED">
        <w:rPr>
          <w:rFonts w:ascii="Times New Roman" w:hAnsi="Times New Roman" w:cs="Times New Roman"/>
          <w:b/>
          <w:bCs/>
          <w:sz w:val="28"/>
          <w:szCs w:val="28"/>
        </w:rPr>
        <w:t>Научная новизна</w:t>
      </w:r>
      <w:r w:rsidR="00C75E1C" w:rsidRPr="005422ED">
        <w:rPr>
          <w:rFonts w:ascii="Times New Roman" w:hAnsi="Times New Roman" w:cs="Times New Roman"/>
          <w:b/>
          <w:bCs/>
          <w:sz w:val="28"/>
          <w:szCs w:val="28"/>
        </w:rPr>
        <w:t xml:space="preserve"> </w:t>
      </w:r>
      <w:r w:rsidR="00B90E8F" w:rsidRPr="005422ED">
        <w:rPr>
          <w:rFonts w:ascii="Times New Roman" w:hAnsi="Times New Roman" w:cs="Times New Roman"/>
          <w:b/>
          <w:bCs/>
          <w:sz w:val="28"/>
          <w:szCs w:val="28"/>
        </w:rPr>
        <w:t xml:space="preserve"> </w:t>
      </w:r>
    </w:p>
    <w:p w14:paraId="5A3A2E2F" w14:textId="53B3DF6E" w:rsidR="00C75E1C" w:rsidRPr="005422ED" w:rsidRDefault="00C75E1C" w:rsidP="00E3669F">
      <w:pPr>
        <w:spacing w:line="360" w:lineRule="auto"/>
        <w:jc w:val="both"/>
        <w:rPr>
          <w:rFonts w:ascii="Times New Roman" w:hAnsi="Times New Roman" w:cs="Times New Roman"/>
          <w:b/>
          <w:bCs/>
          <w:sz w:val="28"/>
          <w:szCs w:val="28"/>
          <w:u w:val="single"/>
        </w:rPr>
      </w:pPr>
      <w:r w:rsidRPr="005422ED">
        <w:rPr>
          <w:rFonts w:ascii="Times New Roman" w:hAnsi="Times New Roman" w:cs="Times New Roman"/>
          <w:b/>
          <w:bCs/>
          <w:sz w:val="28"/>
          <w:szCs w:val="28"/>
          <w:u w:val="single"/>
        </w:rPr>
        <w:t>1.</w:t>
      </w:r>
      <w:r w:rsidR="0069236E" w:rsidRPr="005422ED">
        <w:rPr>
          <w:rFonts w:ascii="Times New Roman" w:hAnsi="Times New Roman" w:cs="Times New Roman"/>
          <w:b/>
          <w:bCs/>
          <w:sz w:val="28"/>
          <w:szCs w:val="28"/>
          <w:u w:val="single"/>
        </w:rPr>
        <w:t xml:space="preserve"> Определение факторов эволюции операционных моделей нефтесервисных компаний позволяет энергетическим компаниям диверсифицировать подходы к реализации добывающих проектов</w:t>
      </w:r>
    </w:p>
    <w:p w14:paraId="0BF05A69" w14:textId="39DBF3B5" w:rsidR="00C75E1C" w:rsidRPr="005422ED" w:rsidRDefault="00625415" w:rsidP="00E3669F">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Эволюция операционных моделей нефтесервисных компаний происходила под влиянием двух ключевых факторов: развития технологий внутри лидеров нефтесервисной отрасли, а также условий сотрудничества с государством и энергетическими компаниями на разных рынках. </w:t>
      </w:r>
      <w:r w:rsidR="00BF2F09" w:rsidRPr="005422ED">
        <w:rPr>
          <w:rFonts w:ascii="Times New Roman" w:hAnsi="Times New Roman" w:cs="Times New Roman"/>
          <w:sz w:val="28"/>
          <w:szCs w:val="28"/>
        </w:rPr>
        <w:t>На начальном этапе развития</w:t>
      </w:r>
      <w:r w:rsidRPr="005422ED">
        <w:rPr>
          <w:rFonts w:ascii="Times New Roman" w:hAnsi="Times New Roman" w:cs="Times New Roman"/>
          <w:sz w:val="28"/>
          <w:szCs w:val="28"/>
        </w:rPr>
        <w:t xml:space="preserve"> нефтяной индустрии в России энергетические компании использовали комплексный подход, покрывая полный цикл работ собственными силами. По мере развития технологий</w:t>
      </w:r>
      <w:r w:rsidR="00274508" w:rsidRPr="005422ED">
        <w:rPr>
          <w:rFonts w:ascii="Times New Roman" w:hAnsi="Times New Roman" w:cs="Times New Roman"/>
          <w:sz w:val="28"/>
          <w:szCs w:val="28"/>
        </w:rPr>
        <w:t xml:space="preserve"> выбор </w:t>
      </w:r>
      <w:r w:rsidRPr="005422ED">
        <w:rPr>
          <w:rFonts w:ascii="Times New Roman" w:hAnsi="Times New Roman" w:cs="Times New Roman"/>
          <w:sz w:val="28"/>
          <w:szCs w:val="28"/>
        </w:rPr>
        <w:t>международн</w:t>
      </w:r>
      <w:r w:rsidR="00274508" w:rsidRPr="005422ED">
        <w:rPr>
          <w:rFonts w:ascii="Times New Roman" w:hAnsi="Times New Roman" w:cs="Times New Roman"/>
          <w:sz w:val="28"/>
          <w:szCs w:val="28"/>
        </w:rPr>
        <w:t>ых</w:t>
      </w:r>
      <w:r w:rsidRPr="005422ED">
        <w:rPr>
          <w:rFonts w:ascii="Times New Roman" w:hAnsi="Times New Roman" w:cs="Times New Roman"/>
          <w:sz w:val="28"/>
          <w:szCs w:val="28"/>
        </w:rPr>
        <w:t xml:space="preserve"> нефтесервисны</w:t>
      </w:r>
      <w:r w:rsidR="00274508" w:rsidRPr="005422ED">
        <w:rPr>
          <w:rFonts w:ascii="Times New Roman" w:hAnsi="Times New Roman" w:cs="Times New Roman"/>
          <w:sz w:val="28"/>
          <w:szCs w:val="28"/>
        </w:rPr>
        <w:t>х</w:t>
      </w:r>
      <w:r w:rsidRPr="005422ED">
        <w:rPr>
          <w:rFonts w:ascii="Times New Roman" w:hAnsi="Times New Roman" w:cs="Times New Roman"/>
          <w:sz w:val="28"/>
          <w:szCs w:val="28"/>
        </w:rPr>
        <w:t xml:space="preserve"> компани</w:t>
      </w:r>
      <w:r w:rsidR="00274508" w:rsidRPr="005422ED">
        <w:rPr>
          <w:rFonts w:ascii="Times New Roman" w:hAnsi="Times New Roman" w:cs="Times New Roman"/>
          <w:sz w:val="28"/>
          <w:szCs w:val="28"/>
        </w:rPr>
        <w:t>й</w:t>
      </w:r>
      <w:r w:rsidRPr="005422ED">
        <w:rPr>
          <w:rFonts w:ascii="Times New Roman" w:hAnsi="Times New Roman" w:cs="Times New Roman"/>
          <w:sz w:val="28"/>
          <w:szCs w:val="28"/>
        </w:rPr>
        <w:t xml:space="preserve"> был более привлекателен с точки зрения повышения производительности и снижения операционных затрат, рисков и времени реализации проекта. Возник комбинированный подход, при котором </w:t>
      </w:r>
      <w:r w:rsidR="00274508" w:rsidRPr="005422ED">
        <w:rPr>
          <w:rFonts w:ascii="Times New Roman" w:hAnsi="Times New Roman" w:cs="Times New Roman"/>
          <w:sz w:val="28"/>
          <w:szCs w:val="28"/>
        </w:rPr>
        <w:t>наукоемкие виды услуг осуществлялись международными нефтесервисными компаниями и технологиями, запатентованными ими, а остальные работы осуществлялись собственными сервисными подразделениями.</w:t>
      </w:r>
      <w:r w:rsidR="0084632B" w:rsidRPr="005422ED">
        <w:rPr>
          <w:rFonts w:ascii="Times New Roman" w:hAnsi="Times New Roman" w:cs="Times New Roman"/>
          <w:sz w:val="28"/>
          <w:szCs w:val="28"/>
        </w:rPr>
        <w:t xml:space="preserve"> Современная стадия технологического развития нефтесервисных компаний позволяет лидерам отрасли вернуться к комплексному подходу, покрывая каждую стадию работ и оставляя энергетическим компаниям базовые функции добычи и реализации нефти.</w:t>
      </w:r>
      <w:r w:rsidR="00E3669F" w:rsidRPr="005422ED">
        <w:rPr>
          <w:rFonts w:ascii="Times New Roman" w:hAnsi="Times New Roman" w:cs="Times New Roman"/>
          <w:sz w:val="28"/>
          <w:szCs w:val="28"/>
        </w:rPr>
        <w:t xml:space="preserve"> </w:t>
      </w:r>
    </w:p>
    <w:p w14:paraId="46213906" w14:textId="40FEFC70" w:rsidR="00ED14F5" w:rsidRPr="005422ED" w:rsidRDefault="00ED14F5" w:rsidP="00E3669F">
      <w:pPr>
        <w:spacing w:line="360" w:lineRule="auto"/>
        <w:jc w:val="both"/>
        <w:rPr>
          <w:rFonts w:ascii="Times New Roman" w:hAnsi="Times New Roman" w:cs="Times New Roman"/>
          <w:b/>
          <w:bCs/>
          <w:sz w:val="28"/>
          <w:szCs w:val="28"/>
          <w:u w:val="single"/>
        </w:rPr>
      </w:pPr>
      <w:r w:rsidRPr="005422ED">
        <w:rPr>
          <w:rFonts w:ascii="Times New Roman" w:hAnsi="Times New Roman" w:cs="Times New Roman"/>
          <w:b/>
          <w:bCs/>
          <w:sz w:val="28"/>
          <w:szCs w:val="28"/>
          <w:u w:val="single"/>
        </w:rPr>
        <w:t>2.</w:t>
      </w:r>
      <w:r w:rsidR="0068782C" w:rsidRPr="005422ED">
        <w:rPr>
          <w:rFonts w:ascii="Times New Roman" w:hAnsi="Times New Roman" w:cs="Times New Roman"/>
          <w:b/>
          <w:bCs/>
          <w:sz w:val="28"/>
          <w:szCs w:val="28"/>
          <w:u w:val="single"/>
        </w:rPr>
        <w:t xml:space="preserve"> </w:t>
      </w:r>
      <w:bookmarkStart w:id="0" w:name="_Hlk52350407"/>
      <w:r w:rsidR="0069236E" w:rsidRPr="005422ED">
        <w:rPr>
          <w:rFonts w:ascii="Times New Roman" w:hAnsi="Times New Roman" w:cs="Times New Roman"/>
          <w:b/>
          <w:bCs/>
          <w:sz w:val="28"/>
          <w:szCs w:val="28"/>
          <w:u w:val="single"/>
        </w:rPr>
        <w:t>Анализ</w:t>
      </w:r>
      <w:r w:rsidR="00445959" w:rsidRPr="005422ED">
        <w:rPr>
          <w:rFonts w:ascii="Times New Roman" w:hAnsi="Times New Roman" w:cs="Times New Roman"/>
          <w:b/>
          <w:bCs/>
          <w:sz w:val="28"/>
          <w:szCs w:val="28"/>
          <w:u w:val="single"/>
        </w:rPr>
        <w:t xml:space="preserve"> ограничений и факторов роста национальных рынков позволяет определить принципы диверсификации операционных моделей нефтесервисных компаний на развитых и развивающихся рынках</w:t>
      </w:r>
      <w:r w:rsidRPr="005422ED">
        <w:rPr>
          <w:rFonts w:ascii="Times New Roman" w:hAnsi="Times New Roman" w:cs="Times New Roman"/>
          <w:b/>
          <w:bCs/>
          <w:sz w:val="28"/>
          <w:szCs w:val="28"/>
          <w:u w:val="single"/>
        </w:rPr>
        <w:t xml:space="preserve"> </w:t>
      </w:r>
    </w:p>
    <w:bookmarkEnd w:id="0"/>
    <w:p w14:paraId="3DCD8221" w14:textId="49212113" w:rsidR="00ED14F5" w:rsidRPr="005422ED" w:rsidRDefault="00ED14F5" w:rsidP="00E3669F">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lastRenderedPageBreak/>
        <w:t xml:space="preserve">Международные нефтесервисные компании диверсифицируют операционные модели в зависимости от условий и факторов развитых и развивающихся рынков. Основными факторами, влияющими на изменения </w:t>
      </w:r>
      <w:proofErr w:type="gramStart"/>
      <w:r w:rsidRPr="005422ED">
        <w:rPr>
          <w:rFonts w:ascii="Times New Roman" w:hAnsi="Times New Roman" w:cs="Times New Roman"/>
          <w:sz w:val="28"/>
          <w:szCs w:val="28"/>
        </w:rPr>
        <w:t>операционных моделей</w:t>
      </w:r>
      <w:proofErr w:type="gramEnd"/>
      <w:r w:rsidRPr="005422ED">
        <w:rPr>
          <w:rFonts w:ascii="Times New Roman" w:hAnsi="Times New Roman" w:cs="Times New Roman"/>
          <w:sz w:val="28"/>
          <w:szCs w:val="28"/>
        </w:rPr>
        <w:t xml:space="preserve"> являются государственное регулирование отрасли и программы, нацеленные на поддержку национальных сервисных компаний, принципы взаимодействия энергетических и сервисных компаний, особенности национальных политик привлечения инвестиций, экономические и технологические барьеры входа. </w:t>
      </w:r>
    </w:p>
    <w:p w14:paraId="7563CBDC" w14:textId="421114AE" w:rsidR="00ED14F5" w:rsidRPr="005422ED" w:rsidRDefault="00ED14F5" w:rsidP="00ED14F5">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Китайскому энергетическому рынку наиболее свойственна модель генерального подряда. Высокая роль государства в отрасли отражается в долгосрочном партнерстве местных сервисных и национальных энергетических компаний. Для того, чтобы зайти на данный рынок, международной нефтесервисной компании необходимо либо предложить инновационное технологичное решение, отсутствующее на рынке и позволяющее максимизировать эффективность производственного процесса одного из звеньев, либо предложить интегрированный подход для повышения эффективности всей цепочки. Компания предложила на рынке несколько решений в области инновационного бурения и измерений, необходимых китайской промышленности в освоении новых трудноизвлекаемых месторождений, чем смогла заслужить доверие государства и национального рынка. </w:t>
      </w:r>
    </w:p>
    <w:p w14:paraId="536218F2" w14:textId="4D4383D5" w:rsidR="00ED14F5" w:rsidRPr="005422ED" w:rsidRDefault="00ED14F5" w:rsidP="00E3669F">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Развитые нефтесервисные рынки (Норвегия, США) представляет симбиоз точечного и интегрированного сервисов. Согласно «Министерству нефти и энергетики Норвегии», поощрение наличия на рынке большого количество компаний разных размеров способствует конкуренции и эффективности. Интегрированный сервис на развитых рынках развит преимущественно в нефтесервисных сегментах, риски межстадийного разрыва в которых очень велики. В частности, Норвегия является мировым лидером подводной добычи нефти. Примером служит тенденция, сложившаяся в подводном сегменте: </w:t>
      </w:r>
      <w:r w:rsidRPr="005422ED">
        <w:rPr>
          <w:rFonts w:ascii="Times New Roman" w:hAnsi="Times New Roman" w:cs="Times New Roman"/>
          <w:sz w:val="28"/>
          <w:szCs w:val="28"/>
        </w:rPr>
        <w:lastRenderedPageBreak/>
        <w:t>системы, включающие в себя различные компоненты (клапаны, трубы, механизмы контроля, насосы, КИП, средства мониторинга), объединяются в одну комплексную систему.</w:t>
      </w:r>
    </w:p>
    <w:p w14:paraId="1B0D9C57" w14:textId="1B46B829" w:rsidR="004C19F5" w:rsidRPr="005422ED" w:rsidRDefault="004C19F5" w:rsidP="00E3669F">
      <w:pPr>
        <w:spacing w:line="360" w:lineRule="auto"/>
        <w:jc w:val="both"/>
        <w:rPr>
          <w:rFonts w:ascii="Times New Roman" w:hAnsi="Times New Roman" w:cs="Times New Roman"/>
          <w:b/>
          <w:bCs/>
          <w:sz w:val="28"/>
          <w:szCs w:val="28"/>
          <w:u w:val="single"/>
        </w:rPr>
      </w:pPr>
      <w:r w:rsidRPr="005422ED">
        <w:rPr>
          <w:rFonts w:ascii="Times New Roman" w:hAnsi="Times New Roman" w:cs="Times New Roman"/>
          <w:b/>
          <w:bCs/>
          <w:sz w:val="28"/>
          <w:szCs w:val="28"/>
          <w:u w:val="single"/>
        </w:rPr>
        <w:t xml:space="preserve">3. </w:t>
      </w:r>
      <w:bookmarkStart w:id="1" w:name="_Hlk52350418"/>
      <w:r w:rsidR="0068782C" w:rsidRPr="005422ED">
        <w:rPr>
          <w:rFonts w:ascii="Times New Roman" w:hAnsi="Times New Roman" w:cs="Times New Roman"/>
          <w:b/>
          <w:bCs/>
          <w:sz w:val="28"/>
          <w:szCs w:val="28"/>
          <w:u w:val="single"/>
        </w:rPr>
        <w:t>Анализ портфеля услуг нефтесервисных</w:t>
      </w:r>
      <w:r w:rsidR="00445959" w:rsidRPr="005422ED">
        <w:rPr>
          <w:rFonts w:ascii="Times New Roman" w:hAnsi="Times New Roman" w:cs="Times New Roman"/>
          <w:b/>
          <w:bCs/>
          <w:sz w:val="28"/>
          <w:szCs w:val="28"/>
          <w:u w:val="single"/>
        </w:rPr>
        <w:t xml:space="preserve"> ком</w:t>
      </w:r>
      <w:r w:rsidR="0068782C" w:rsidRPr="005422ED">
        <w:rPr>
          <w:rFonts w:ascii="Times New Roman" w:hAnsi="Times New Roman" w:cs="Times New Roman"/>
          <w:b/>
          <w:bCs/>
          <w:sz w:val="28"/>
          <w:szCs w:val="28"/>
          <w:u w:val="single"/>
        </w:rPr>
        <w:t xml:space="preserve">паний на современном рынке </w:t>
      </w:r>
      <w:r w:rsidR="00445959" w:rsidRPr="005422ED">
        <w:rPr>
          <w:rFonts w:ascii="Times New Roman" w:hAnsi="Times New Roman" w:cs="Times New Roman"/>
          <w:b/>
          <w:bCs/>
          <w:sz w:val="28"/>
          <w:szCs w:val="28"/>
          <w:u w:val="single"/>
        </w:rPr>
        <w:t>позволяет диверсифицировать модели</w:t>
      </w:r>
      <w:r w:rsidR="00BF1D0A" w:rsidRPr="005422ED">
        <w:rPr>
          <w:rFonts w:ascii="Times New Roman" w:hAnsi="Times New Roman" w:cs="Times New Roman"/>
          <w:b/>
          <w:bCs/>
          <w:sz w:val="28"/>
          <w:szCs w:val="28"/>
          <w:u w:val="single"/>
        </w:rPr>
        <w:t xml:space="preserve"> сотрудничества энергетических и сервисных компаний</w:t>
      </w:r>
      <w:bookmarkEnd w:id="1"/>
    </w:p>
    <w:p w14:paraId="0026B360" w14:textId="14A8ABAC" w:rsidR="007507A1" w:rsidRPr="005422ED" w:rsidRDefault="004C19F5" w:rsidP="00E3669F">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Сервисные работы по эксплуатации месторождений все чаще выходят за пределы основного бизнеса энергетических компаний в развитых и развивающихся странах (</w:t>
      </w:r>
      <w:r w:rsidRPr="005422ED">
        <w:rPr>
          <w:rFonts w:ascii="Times New Roman" w:hAnsi="Times New Roman" w:cs="Times New Roman"/>
          <w:sz w:val="28"/>
          <w:szCs w:val="28"/>
          <w:lang w:val="en-US"/>
        </w:rPr>
        <w:t>BP</w:t>
      </w:r>
      <w:r w:rsidRPr="005422ED">
        <w:rPr>
          <w:rFonts w:ascii="Times New Roman" w:hAnsi="Times New Roman" w:cs="Times New Roman"/>
          <w:sz w:val="28"/>
          <w:szCs w:val="28"/>
        </w:rPr>
        <w:t xml:space="preserve">, </w:t>
      </w:r>
      <w:r w:rsidRPr="005422ED">
        <w:rPr>
          <w:rFonts w:ascii="Times New Roman" w:hAnsi="Times New Roman" w:cs="Times New Roman"/>
          <w:sz w:val="28"/>
          <w:szCs w:val="28"/>
          <w:lang w:val="en-US"/>
        </w:rPr>
        <w:t>Standard</w:t>
      </w:r>
      <w:r w:rsidRPr="005422ED">
        <w:rPr>
          <w:rFonts w:ascii="Times New Roman" w:hAnsi="Times New Roman" w:cs="Times New Roman"/>
          <w:sz w:val="28"/>
          <w:szCs w:val="28"/>
        </w:rPr>
        <w:t xml:space="preserve"> </w:t>
      </w:r>
      <w:r w:rsidRPr="005422ED">
        <w:rPr>
          <w:rFonts w:ascii="Times New Roman" w:hAnsi="Times New Roman" w:cs="Times New Roman"/>
          <w:sz w:val="28"/>
          <w:szCs w:val="28"/>
          <w:lang w:val="en-US"/>
        </w:rPr>
        <w:t>Oil</w:t>
      </w:r>
      <w:r w:rsidRPr="005422ED">
        <w:rPr>
          <w:rFonts w:ascii="Times New Roman" w:hAnsi="Times New Roman" w:cs="Times New Roman"/>
          <w:sz w:val="28"/>
          <w:szCs w:val="28"/>
        </w:rPr>
        <w:t xml:space="preserve">, </w:t>
      </w:r>
      <w:r w:rsidRPr="005422ED">
        <w:rPr>
          <w:rFonts w:ascii="Times New Roman" w:hAnsi="Times New Roman" w:cs="Times New Roman"/>
          <w:sz w:val="28"/>
          <w:szCs w:val="28"/>
          <w:lang w:val="en-US"/>
        </w:rPr>
        <w:t>Chevron</w:t>
      </w:r>
      <w:r w:rsidRPr="005422ED">
        <w:rPr>
          <w:rFonts w:ascii="Times New Roman" w:hAnsi="Times New Roman" w:cs="Times New Roman"/>
          <w:sz w:val="28"/>
          <w:szCs w:val="28"/>
        </w:rPr>
        <w:t>)</w:t>
      </w:r>
      <w:r w:rsidR="007507A1" w:rsidRPr="005422ED">
        <w:rPr>
          <w:rFonts w:ascii="Times New Roman" w:hAnsi="Times New Roman" w:cs="Times New Roman"/>
          <w:sz w:val="28"/>
          <w:szCs w:val="28"/>
        </w:rPr>
        <w:t xml:space="preserve">. Международные нефтесервисные компании, нарастив технологические знания и экономическую стабильность, способны предложить конкурентные цены на рынке, снижая себестоимость работ. Российский нефтесервисный рынок находится на стадии формирования и не может обеспечить энергетические компании подобными услугами в связи с отсутствием знаний и мощностей. Перед энергетическими компаниями стоит выбор: развивать и усиливать внутренние сервисные подразделения, возвращаясь к структурной модели советского периода и полного самообеспечения, либо рассмотреть привлечение международных сервисных компаний как ключевых партнеров на российском рынке. </w:t>
      </w:r>
    </w:p>
    <w:p w14:paraId="2338B82A" w14:textId="43444239" w:rsidR="00C75E1C" w:rsidRPr="005422ED" w:rsidRDefault="004B6BD7" w:rsidP="00E3669F">
      <w:pPr>
        <w:spacing w:line="360" w:lineRule="auto"/>
        <w:jc w:val="both"/>
        <w:rPr>
          <w:rFonts w:ascii="Times New Roman" w:hAnsi="Times New Roman" w:cs="Times New Roman"/>
          <w:b/>
          <w:bCs/>
          <w:sz w:val="28"/>
          <w:szCs w:val="28"/>
          <w:u w:val="single"/>
        </w:rPr>
      </w:pPr>
      <w:r w:rsidRPr="005422ED">
        <w:rPr>
          <w:rFonts w:ascii="Times New Roman" w:hAnsi="Times New Roman" w:cs="Times New Roman"/>
          <w:b/>
          <w:bCs/>
          <w:sz w:val="28"/>
          <w:szCs w:val="28"/>
          <w:u w:val="single"/>
        </w:rPr>
        <w:t>4</w:t>
      </w:r>
      <w:r w:rsidR="00C75E1C" w:rsidRPr="005422ED">
        <w:rPr>
          <w:rFonts w:ascii="Times New Roman" w:hAnsi="Times New Roman" w:cs="Times New Roman"/>
          <w:b/>
          <w:bCs/>
          <w:sz w:val="28"/>
          <w:szCs w:val="28"/>
          <w:u w:val="single"/>
        </w:rPr>
        <w:t>. Корректная оценка операционной модели нефтесервисной компании возможна с учетом</w:t>
      </w:r>
      <w:r w:rsidR="00B06B57" w:rsidRPr="005422ED">
        <w:rPr>
          <w:rFonts w:ascii="Times New Roman" w:hAnsi="Times New Roman" w:cs="Times New Roman"/>
          <w:b/>
          <w:bCs/>
          <w:sz w:val="28"/>
          <w:szCs w:val="28"/>
          <w:u w:val="single"/>
        </w:rPr>
        <w:t xml:space="preserve"> изменения принципов дисконтирования основных денежных потоков проекта: выручки, капитальных и операционных затрат в периоде реализации проекта</w:t>
      </w:r>
    </w:p>
    <w:p w14:paraId="50C4FC22" w14:textId="051231B6" w:rsidR="00E3669F" w:rsidRPr="005422ED" w:rsidRDefault="00E3669F" w:rsidP="00E3669F">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Энергетическим компаниям и государству как основным игрокам энергетической отрасли необходимо корректно оценить наиболее эффективную операционную модель нефтесервисной компании для экономики отрасли. Данная оценка возможна при применении многофакторной модели </w:t>
      </w:r>
      <w:r w:rsidR="007A596F" w:rsidRPr="005422ED">
        <w:rPr>
          <w:rFonts w:ascii="Times New Roman" w:hAnsi="Times New Roman" w:cs="Times New Roman"/>
          <w:sz w:val="28"/>
          <w:szCs w:val="28"/>
        </w:rPr>
        <w:t xml:space="preserve">сценариев сотрудничества энергетических и </w:t>
      </w:r>
      <w:r w:rsidR="007A596F" w:rsidRPr="005422ED">
        <w:rPr>
          <w:rFonts w:ascii="Times New Roman" w:hAnsi="Times New Roman" w:cs="Times New Roman"/>
          <w:sz w:val="28"/>
          <w:szCs w:val="28"/>
        </w:rPr>
        <w:lastRenderedPageBreak/>
        <w:t xml:space="preserve">сервисных компаний, факторам которой являются степени глубины доли сервисных услуг в аутсорсинге энергетической компании. Методология и обоснование оценки эффекта разных моделей операционной деятельности нефтесервисных компаний на экономику проектов энергетических компаний, определение наиболее привлекательной модели сотрудничества представляет научную новизну данного исследования. </w:t>
      </w:r>
    </w:p>
    <w:p w14:paraId="2609C878" w14:textId="39D97403" w:rsidR="00B83009" w:rsidRPr="005422ED" w:rsidRDefault="004B6BD7" w:rsidP="00E3669F">
      <w:pPr>
        <w:spacing w:line="360" w:lineRule="auto"/>
        <w:jc w:val="both"/>
        <w:rPr>
          <w:rFonts w:ascii="Times New Roman" w:hAnsi="Times New Roman" w:cs="Times New Roman"/>
          <w:b/>
          <w:bCs/>
          <w:sz w:val="28"/>
          <w:szCs w:val="28"/>
          <w:u w:val="single"/>
        </w:rPr>
      </w:pPr>
      <w:r w:rsidRPr="005422ED">
        <w:rPr>
          <w:rFonts w:ascii="Times New Roman" w:hAnsi="Times New Roman" w:cs="Times New Roman"/>
          <w:b/>
          <w:bCs/>
          <w:sz w:val="28"/>
          <w:szCs w:val="28"/>
          <w:u w:val="single"/>
        </w:rPr>
        <w:t>5</w:t>
      </w:r>
      <w:r w:rsidR="00B83009" w:rsidRPr="005422ED">
        <w:rPr>
          <w:rFonts w:ascii="Times New Roman" w:hAnsi="Times New Roman" w:cs="Times New Roman"/>
          <w:b/>
          <w:bCs/>
          <w:sz w:val="28"/>
          <w:szCs w:val="28"/>
          <w:u w:val="single"/>
        </w:rPr>
        <w:t xml:space="preserve">. </w:t>
      </w:r>
      <w:r w:rsidR="005D2E71" w:rsidRPr="005422ED">
        <w:rPr>
          <w:rFonts w:ascii="Times New Roman" w:hAnsi="Times New Roman" w:cs="Times New Roman"/>
          <w:b/>
          <w:bCs/>
          <w:sz w:val="28"/>
          <w:szCs w:val="28"/>
          <w:u w:val="single"/>
        </w:rPr>
        <w:t xml:space="preserve">Разработка многофакторных моделей позволяет унифицировать влияние разрозненных факторов на предмет анализа </w:t>
      </w:r>
    </w:p>
    <w:p w14:paraId="191CF897" w14:textId="238869CC" w:rsidR="00B83009" w:rsidRPr="005422ED" w:rsidRDefault="00853DCB" w:rsidP="00E3669F">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Проекты по разработке нефтяных месторождений различны по геологическим, геофизическим, технологическим и иным характеристикам. </w:t>
      </w:r>
      <w:r w:rsidR="00B83009" w:rsidRPr="005422ED">
        <w:rPr>
          <w:rFonts w:ascii="Times New Roman" w:hAnsi="Times New Roman" w:cs="Times New Roman"/>
          <w:sz w:val="28"/>
          <w:szCs w:val="28"/>
        </w:rPr>
        <w:t>Данные различия существенны при анализе экономики добычи и реализации нефти. Данные факторы осложняют применение унифицированного подхода к анализу инвестиционной привлекательности проекта. Услуги нефтесервисных компания являются объектом подобного анализа. Междуна</w:t>
      </w:r>
      <w:r w:rsidRPr="005422ED">
        <w:rPr>
          <w:rFonts w:ascii="Times New Roman" w:hAnsi="Times New Roman" w:cs="Times New Roman"/>
          <w:sz w:val="28"/>
          <w:szCs w:val="28"/>
        </w:rPr>
        <w:t>родные нефтесервисные компании предлагают несколько моделей организации сервисных услуг: от единичны</w:t>
      </w:r>
      <w:r w:rsidR="00BF1D0A" w:rsidRPr="005422ED">
        <w:rPr>
          <w:rFonts w:ascii="Times New Roman" w:hAnsi="Times New Roman" w:cs="Times New Roman"/>
          <w:sz w:val="28"/>
          <w:szCs w:val="28"/>
        </w:rPr>
        <w:t>х</w:t>
      </w:r>
      <w:r w:rsidRPr="005422ED">
        <w:rPr>
          <w:rFonts w:ascii="Times New Roman" w:hAnsi="Times New Roman" w:cs="Times New Roman"/>
          <w:sz w:val="28"/>
          <w:szCs w:val="28"/>
        </w:rPr>
        <w:t xml:space="preserve"> видов работ (цементирование) до комплексного покрытия (интегрированные проекты по бурению). Построение многофакторных моделей, учитывающих разный эффект от глубины аутсорсинга нефтесервисных услуг, позволит получить наиболее эффективное решение по реализации проекта. </w:t>
      </w:r>
    </w:p>
    <w:p w14:paraId="2915D124" w14:textId="77777777" w:rsidR="005422ED" w:rsidRDefault="005422ED" w:rsidP="00E3669F">
      <w:pPr>
        <w:spacing w:line="360" w:lineRule="auto"/>
        <w:jc w:val="both"/>
        <w:rPr>
          <w:rFonts w:ascii="Times New Roman" w:hAnsi="Times New Roman" w:cs="Times New Roman"/>
          <w:b/>
          <w:bCs/>
          <w:sz w:val="28"/>
          <w:szCs w:val="28"/>
        </w:rPr>
      </w:pPr>
    </w:p>
    <w:p w14:paraId="734F103F" w14:textId="2AC38018" w:rsidR="0066078C" w:rsidRPr="005422ED" w:rsidRDefault="0066078C" w:rsidP="00E3669F">
      <w:pPr>
        <w:spacing w:line="360" w:lineRule="auto"/>
        <w:jc w:val="both"/>
        <w:rPr>
          <w:rFonts w:ascii="Times New Roman" w:hAnsi="Times New Roman" w:cs="Times New Roman"/>
          <w:b/>
          <w:bCs/>
          <w:sz w:val="28"/>
          <w:szCs w:val="28"/>
        </w:rPr>
      </w:pPr>
      <w:r w:rsidRPr="005422ED">
        <w:rPr>
          <w:rFonts w:ascii="Times New Roman" w:hAnsi="Times New Roman" w:cs="Times New Roman"/>
          <w:b/>
          <w:bCs/>
          <w:sz w:val="28"/>
          <w:szCs w:val="28"/>
        </w:rPr>
        <w:t>Гипотеза</w:t>
      </w:r>
      <w:r w:rsidR="001E6066" w:rsidRPr="005422ED">
        <w:rPr>
          <w:rFonts w:ascii="Times New Roman" w:hAnsi="Times New Roman" w:cs="Times New Roman"/>
          <w:b/>
          <w:bCs/>
          <w:sz w:val="28"/>
          <w:szCs w:val="28"/>
        </w:rPr>
        <w:t xml:space="preserve"> </w:t>
      </w:r>
    </w:p>
    <w:p w14:paraId="31F61410" w14:textId="39147E34" w:rsidR="00E3669F" w:rsidRPr="005422ED" w:rsidRDefault="00624D37" w:rsidP="00495E20">
      <w:p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В рамках данного исследования выдвинуты несколько гипотез: </w:t>
      </w:r>
    </w:p>
    <w:p w14:paraId="623A6BA1" w14:textId="3CD6E22A" w:rsidR="00624D37" w:rsidRPr="005422ED" w:rsidRDefault="003E4DB6" w:rsidP="00624D37">
      <w:pPr>
        <w:pStyle w:val="a6"/>
        <w:numPr>
          <w:ilvl w:val="0"/>
          <w:numId w:val="14"/>
        </w:num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Нефтесервисные компании адаптирую операционные модели под разные условия развития экономики, отрасли и рынков</w:t>
      </w:r>
      <w:r w:rsidR="00624D37" w:rsidRPr="005422ED">
        <w:rPr>
          <w:rFonts w:ascii="Times New Roman" w:hAnsi="Times New Roman" w:cs="Times New Roman"/>
          <w:sz w:val="28"/>
          <w:szCs w:val="28"/>
        </w:rPr>
        <w:t>.</w:t>
      </w:r>
      <w:r w:rsidR="008C6EA5" w:rsidRPr="005422ED">
        <w:rPr>
          <w:rFonts w:ascii="Times New Roman" w:hAnsi="Times New Roman" w:cs="Times New Roman"/>
          <w:sz w:val="28"/>
          <w:szCs w:val="28"/>
        </w:rPr>
        <w:t xml:space="preserve"> Этапы развития экономики отрасли на разных рынках служат нефтесервисным компаниям сигналом для формирования операционных моделей, соответствующих актуальным условиям рынка. </w:t>
      </w:r>
    </w:p>
    <w:p w14:paraId="5A0FE85D" w14:textId="7FB106D8" w:rsidR="008C6EA5" w:rsidRPr="005422ED" w:rsidRDefault="00C75E1C" w:rsidP="00C75E1C">
      <w:pPr>
        <w:pStyle w:val="a6"/>
        <w:numPr>
          <w:ilvl w:val="0"/>
          <w:numId w:val="14"/>
        </w:numPr>
        <w:spacing w:line="360" w:lineRule="auto"/>
        <w:jc w:val="both"/>
        <w:rPr>
          <w:rFonts w:ascii="Times New Roman" w:hAnsi="Times New Roman" w:cs="Times New Roman"/>
          <w:strike/>
          <w:sz w:val="28"/>
          <w:szCs w:val="28"/>
        </w:rPr>
      </w:pPr>
      <w:r w:rsidRPr="005422ED">
        <w:rPr>
          <w:rFonts w:ascii="Times New Roman" w:hAnsi="Times New Roman" w:cs="Times New Roman"/>
          <w:sz w:val="28"/>
          <w:szCs w:val="28"/>
        </w:rPr>
        <w:lastRenderedPageBreak/>
        <w:t xml:space="preserve">Мировая тенденция отрасли – полный аутсорсинг нефтесервисных услуг. </w:t>
      </w:r>
      <w:r w:rsidR="008C6EA5" w:rsidRPr="005422ED">
        <w:rPr>
          <w:rFonts w:ascii="Times New Roman" w:hAnsi="Times New Roman" w:cs="Times New Roman"/>
          <w:sz w:val="28"/>
          <w:szCs w:val="28"/>
        </w:rPr>
        <w:t xml:space="preserve">Российские энергетические компании по-прежнему продолжают содержать сервисные подразделения внутри ВИНК и обслуживать месторождения за счет внутренних сил там, где это позволяют мощности и технологии. </w:t>
      </w:r>
    </w:p>
    <w:p w14:paraId="5D6780A6" w14:textId="05B1E344" w:rsidR="008C6EA5" w:rsidRPr="005422ED" w:rsidRDefault="008C6EA5" w:rsidP="00624D37">
      <w:pPr>
        <w:pStyle w:val="a6"/>
        <w:numPr>
          <w:ilvl w:val="0"/>
          <w:numId w:val="14"/>
        </w:num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Ключевым барьером </w:t>
      </w:r>
      <w:r w:rsidR="00EA04CB" w:rsidRPr="005422ED">
        <w:rPr>
          <w:rFonts w:ascii="Times New Roman" w:hAnsi="Times New Roman" w:cs="Times New Roman"/>
          <w:sz w:val="28"/>
          <w:szCs w:val="28"/>
        </w:rPr>
        <w:t>входа на рынок для нефтесервисных компаний являются положения государственного регулирования отрасли. Энергетическая отрасль является стратегической в большинстве</w:t>
      </w:r>
      <w:r w:rsidR="00C75E1C" w:rsidRPr="005422ED">
        <w:rPr>
          <w:rFonts w:ascii="Times New Roman" w:hAnsi="Times New Roman" w:cs="Times New Roman"/>
          <w:sz w:val="28"/>
          <w:szCs w:val="28"/>
        </w:rPr>
        <w:t xml:space="preserve"> стран</w:t>
      </w:r>
      <w:r w:rsidR="0069034A" w:rsidRPr="005422ED">
        <w:rPr>
          <w:rFonts w:ascii="Times New Roman" w:hAnsi="Times New Roman" w:cs="Times New Roman"/>
          <w:sz w:val="28"/>
          <w:szCs w:val="28"/>
        </w:rPr>
        <w:t xml:space="preserve">. </w:t>
      </w:r>
      <w:r w:rsidR="00EA04CB" w:rsidRPr="005422ED">
        <w:rPr>
          <w:rFonts w:ascii="Times New Roman" w:hAnsi="Times New Roman" w:cs="Times New Roman"/>
          <w:sz w:val="28"/>
          <w:szCs w:val="28"/>
        </w:rPr>
        <w:t>Прочие барьеры (механизм взаимодействия энергетических и сервисных компаний и т</w:t>
      </w:r>
      <w:r w:rsidR="00C75E1C" w:rsidRPr="005422ED">
        <w:rPr>
          <w:rFonts w:ascii="Times New Roman" w:hAnsi="Times New Roman" w:cs="Times New Roman"/>
          <w:sz w:val="28"/>
          <w:szCs w:val="28"/>
        </w:rPr>
        <w:t>.</w:t>
      </w:r>
      <w:r w:rsidR="00EA04CB" w:rsidRPr="005422ED">
        <w:rPr>
          <w:rFonts w:ascii="Times New Roman" w:hAnsi="Times New Roman" w:cs="Times New Roman"/>
          <w:sz w:val="28"/>
          <w:szCs w:val="28"/>
        </w:rPr>
        <w:t xml:space="preserve">д.) </w:t>
      </w:r>
      <w:r w:rsidR="0069034A" w:rsidRPr="005422ED">
        <w:rPr>
          <w:rFonts w:ascii="Times New Roman" w:hAnsi="Times New Roman" w:cs="Times New Roman"/>
          <w:sz w:val="28"/>
          <w:szCs w:val="28"/>
        </w:rPr>
        <w:t xml:space="preserve"> - второстепенны. </w:t>
      </w:r>
    </w:p>
    <w:p w14:paraId="36A6C487" w14:textId="60B9CEE4" w:rsidR="009C4ECA" w:rsidRPr="005422ED" w:rsidRDefault="009C4ECA" w:rsidP="00624D37">
      <w:pPr>
        <w:pStyle w:val="a6"/>
        <w:numPr>
          <w:ilvl w:val="0"/>
          <w:numId w:val="14"/>
        </w:num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Нефтесервисные компании адаптируют операционные модели в зависимости от внутренних особенностей развитых и развивающихся рынков. Ключевые особенности: механизм взаимодействия энергетических и сервисных компаний в отрасли, политика привлечения инвестиций, экономические и технологические потребности компаний – реципиентов на рынке. </w:t>
      </w:r>
    </w:p>
    <w:p w14:paraId="2930E88E" w14:textId="4E40C8AE" w:rsidR="00D95F73" w:rsidRPr="005422ED" w:rsidRDefault="00D95F73" w:rsidP="00624D37">
      <w:pPr>
        <w:pStyle w:val="a6"/>
        <w:numPr>
          <w:ilvl w:val="0"/>
          <w:numId w:val="14"/>
        </w:num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Современные методики оценки проектов с точки зрения передачи активов на аутсорсинг</w:t>
      </w:r>
      <w:r w:rsidR="00542E90" w:rsidRPr="005422ED">
        <w:rPr>
          <w:rFonts w:ascii="Times New Roman" w:hAnsi="Times New Roman" w:cs="Times New Roman"/>
          <w:sz w:val="28"/>
          <w:szCs w:val="28"/>
        </w:rPr>
        <w:t xml:space="preserve"> </w:t>
      </w:r>
      <w:r w:rsidR="00C75E1C" w:rsidRPr="005422ED">
        <w:rPr>
          <w:rFonts w:ascii="Times New Roman" w:hAnsi="Times New Roman" w:cs="Times New Roman"/>
          <w:sz w:val="28"/>
          <w:szCs w:val="28"/>
        </w:rPr>
        <w:t>требуют уточнени</w:t>
      </w:r>
      <w:r w:rsidR="00542E90" w:rsidRPr="005422ED">
        <w:rPr>
          <w:rFonts w:ascii="Times New Roman" w:hAnsi="Times New Roman" w:cs="Times New Roman"/>
          <w:sz w:val="28"/>
          <w:szCs w:val="28"/>
        </w:rPr>
        <w:t xml:space="preserve">й </w:t>
      </w:r>
      <w:r w:rsidR="00C75E1C" w:rsidRPr="005422ED">
        <w:rPr>
          <w:rFonts w:ascii="Times New Roman" w:hAnsi="Times New Roman" w:cs="Times New Roman"/>
          <w:sz w:val="28"/>
          <w:szCs w:val="28"/>
        </w:rPr>
        <w:t>принципов</w:t>
      </w:r>
      <w:r w:rsidRPr="005422ED">
        <w:rPr>
          <w:rFonts w:ascii="Times New Roman" w:hAnsi="Times New Roman" w:cs="Times New Roman"/>
          <w:sz w:val="28"/>
          <w:szCs w:val="28"/>
        </w:rPr>
        <w:t xml:space="preserve"> дисконтирования основных денежных потоков проекта: выручки, капитальных и операционных затрат в периоде реализации проекта. </w:t>
      </w:r>
    </w:p>
    <w:p w14:paraId="0FD066BC" w14:textId="7EC34E11" w:rsidR="00DA20B4" w:rsidRPr="005422ED" w:rsidRDefault="0069034A" w:rsidP="009529BE">
      <w:pPr>
        <w:pStyle w:val="a6"/>
        <w:numPr>
          <w:ilvl w:val="0"/>
          <w:numId w:val="14"/>
        </w:num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М</w:t>
      </w:r>
      <w:r w:rsidR="00B24132" w:rsidRPr="005422ED">
        <w:rPr>
          <w:rFonts w:ascii="Times New Roman" w:hAnsi="Times New Roman" w:cs="Times New Roman"/>
          <w:sz w:val="28"/>
          <w:szCs w:val="28"/>
        </w:rPr>
        <w:t>ногофакторн</w:t>
      </w:r>
      <w:r w:rsidRPr="005422ED">
        <w:rPr>
          <w:rFonts w:ascii="Times New Roman" w:hAnsi="Times New Roman" w:cs="Times New Roman"/>
          <w:sz w:val="28"/>
          <w:szCs w:val="28"/>
        </w:rPr>
        <w:t>ые</w:t>
      </w:r>
      <w:r w:rsidR="00B24132" w:rsidRPr="005422ED">
        <w:rPr>
          <w:rFonts w:ascii="Times New Roman" w:hAnsi="Times New Roman" w:cs="Times New Roman"/>
          <w:sz w:val="28"/>
          <w:szCs w:val="28"/>
        </w:rPr>
        <w:t xml:space="preserve"> модели, </w:t>
      </w:r>
      <w:r w:rsidR="00C75E1C" w:rsidRPr="005422ED">
        <w:rPr>
          <w:rFonts w:ascii="Times New Roman" w:hAnsi="Times New Roman" w:cs="Times New Roman"/>
          <w:sz w:val="28"/>
          <w:szCs w:val="28"/>
        </w:rPr>
        <w:t>учитывающ</w:t>
      </w:r>
      <w:r w:rsidRPr="005422ED">
        <w:rPr>
          <w:rFonts w:ascii="Times New Roman" w:hAnsi="Times New Roman" w:cs="Times New Roman"/>
          <w:sz w:val="28"/>
          <w:szCs w:val="28"/>
        </w:rPr>
        <w:t xml:space="preserve">ие </w:t>
      </w:r>
      <w:r w:rsidR="00B24132" w:rsidRPr="005422ED">
        <w:rPr>
          <w:rFonts w:ascii="Times New Roman" w:hAnsi="Times New Roman" w:cs="Times New Roman"/>
          <w:sz w:val="28"/>
          <w:szCs w:val="28"/>
        </w:rPr>
        <w:t xml:space="preserve">влияние нескольких </w:t>
      </w:r>
      <w:r w:rsidRPr="005422ED">
        <w:rPr>
          <w:rFonts w:ascii="Times New Roman" w:hAnsi="Times New Roman" w:cs="Times New Roman"/>
          <w:sz w:val="28"/>
          <w:szCs w:val="28"/>
        </w:rPr>
        <w:t>сценариев</w:t>
      </w:r>
      <w:r w:rsidR="00B24132" w:rsidRPr="005422ED">
        <w:rPr>
          <w:rFonts w:ascii="Times New Roman" w:hAnsi="Times New Roman" w:cs="Times New Roman"/>
          <w:sz w:val="28"/>
          <w:szCs w:val="28"/>
        </w:rPr>
        <w:t>, предлагаемых нефтесервисной отраслью и различающихся разной степенью глубины аутсорсинга, позволя</w:t>
      </w:r>
      <w:r w:rsidRPr="005422ED">
        <w:rPr>
          <w:rFonts w:ascii="Times New Roman" w:hAnsi="Times New Roman" w:cs="Times New Roman"/>
          <w:sz w:val="28"/>
          <w:szCs w:val="28"/>
        </w:rPr>
        <w:t>ют</w:t>
      </w:r>
      <w:r w:rsidR="00B24132" w:rsidRPr="005422ED">
        <w:rPr>
          <w:rFonts w:ascii="Times New Roman" w:hAnsi="Times New Roman" w:cs="Times New Roman"/>
          <w:sz w:val="28"/>
          <w:szCs w:val="28"/>
        </w:rPr>
        <w:t xml:space="preserve"> повысить объективность расчетов и прозрачность при принятии энергетической компанией решения по аутсорсингу сервисных услуг.</w:t>
      </w:r>
    </w:p>
    <w:p w14:paraId="712816EA" w14:textId="77777777" w:rsidR="005422ED" w:rsidRDefault="005422ED" w:rsidP="009529BE">
      <w:pPr>
        <w:pStyle w:val="Default"/>
        <w:spacing w:line="360" w:lineRule="auto"/>
        <w:jc w:val="both"/>
        <w:rPr>
          <w:b/>
          <w:sz w:val="28"/>
          <w:szCs w:val="28"/>
        </w:rPr>
      </w:pPr>
    </w:p>
    <w:p w14:paraId="0E29B1A1" w14:textId="4505234D" w:rsidR="009529BE" w:rsidRPr="005422ED" w:rsidRDefault="009529BE" w:rsidP="009529BE">
      <w:pPr>
        <w:pStyle w:val="Default"/>
        <w:spacing w:line="360" w:lineRule="auto"/>
        <w:jc w:val="both"/>
        <w:rPr>
          <w:b/>
          <w:sz w:val="28"/>
          <w:szCs w:val="28"/>
        </w:rPr>
      </w:pPr>
      <w:r w:rsidRPr="005422ED">
        <w:rPr>
          <w:b/>
          <w:sz w:val="28"/>
          <w:szCs w:val="28"/>
        </w:rPr>
        <w:t>Методология исследования</w:t>
      </w:r>
      <w:r w:rsidR="00B90E8F" w:rsidRPr="005422ED">
        <w:rPr>
          <w:b/>
          <w:sz w:val="28"/>
          <w:szCs w:val="28"/>
        </w:rPr>
        <w:t xml:space="preserve"> </w:t>
      </w:r>
    </w:p>
    <w:p w14:paraId="23ABF419" w14:textId="77777777" w:rsidR="009529BE" w:rsidRPr="005422ED" w:rsidRDefault="009529BE" w:rsidP="009529BE">
      <w:pPr>
        <w:spacing w:line="360" w:lineRule="auto"/>
        <w:jc w:val="both"/>
        <w:rPr>
          <w:rFonts w:ascii="Times New Roman" w:hAnsi="Times New Roman" w:cs="Times New Roman"/>
          <w:color w:val="000000"/>
          <w:sz w:val="28"/>
          <w:szCs w:val="28"/>
        </w:rPr>
      </w:pPr>
      <w:r w:rsidRPr="005422ED">
        <w:rPr>
          <w:rFonts w:ascii="Times New Roman" w:hAnsi="Times New Roman" w:cs="Times New Roman"/>
          <w:color w:val="000000"/>
          <w:sz w:val="28"/>
          <w:szCs w:val="28"/>
        </w:rPr>
        <w:t xml:space="preserve">Методология исследования основана на эмпирической оценке сценариев привлекательности для энергетических компаний с (без) привлечением аутсорсинговых услуг международных нефтесервисных компаний. </w:t>
      </w:r>
    </w:p>
    <w:p w14:paraId="16C0325C" w14:textId="77777777" w:rsidR="009529BE" w:rsidRPr="005422ED" w:rsidRDefault="009529BE" w:rsidP="009529BE">
      <w:pPr>
        <w:spacing w:line="360" w:lineRule="auto"/>
        <w:jc w:val="both"/>
        <w:rPr>
          <w:rFonts w:ascii="Times New Roman" w:hAnsi="Times New Roman" w:cs="Times New Roman"/>
          <w:color w:val="000000"/>
          <w:sz w:val="28"/>
          <w:szCs w:val="28"/>
        </w:rPr>
      </w:pPr>
      <w:r w:rsidRPr="005422ED">
        <w:rPr>
          <w:rFonts w:ascii="Times New Roman" w:hAnsi="Times New Roman" w:cs="Times New Roman"/>
          <w:color w:val="000000"/>
          <w:sz w:val="28"/>
          <w:szCs w:val="28"/>
        </w:rPr>
        <w:lastRenderedPageBreak/>
        <w:t xml:space="preserve">Базовой методологией данного исследования является использование различных методов количественного анализа. Анализ основывается на статистических данных по нескольким месторождениям на территории России и отдаче зависимости от степени технологического оснащения проекта. Осуществлен поиск и верификация базовых технико-экономических показателей одного из проектов нефтяного месторождения Западной Сибири. Проанализированы технологические решения в области процесса и этапов бурения скважин, учтены свойства, функции и эффект применения данных решений на экономику проектов. </w:t>
      </w:r>
    </w:p>
    <w:p w14:paraId="6658ADA4" w14:textId="5B9F8763" w:rsidR="009529BE" w:rsidRPr="005422ED" w:rsidRDefault="003E68DB" w:rsidP="009529BE">
      <w:pPr>
        <w:spacing w:line="360" w:lineRule="auto"/>
        <w:jc w:val="both"/>
        <w:rPr>
          <w:rFonts w:ascii="Times New Roman" w:hAnsi="Times New Roman" w:cs="Times New Roman"/>
          <w:color w:val="000000"/>
          <w:sz w:val="28"/>
          <w:szCs w:val="28"/>
        </w:rPr>
      </w:pPr>
      <w:r w:rsidRPr="005422ED">
        <w:rPr>
          <w:rFonts w:ascii="Times New Roman" w:hAnsi="Times New Roman" w:cs="Times New Roman"/>
          <w:color w:val="000000"/>
          <w:sz w:val="28"/>
          <w:szCs w:val="28"/>
        </w:rPr>
        <w:t>П</w:t>
      </w:r>
      <w:r w:rsidR="009529BE" w:rsidRPr="005422ED">
        <w:rPr>
          <w:rFonts w:ascii="Times New Roman" w:hAnsi="Times New Roman" w:cs="Times New Roman"/>
          <w:color w:val="000000"/>
          <w:sz w:val="28"/>
          <w:szCs w:val="28"/>
        </w:rPr>
        <w:t>рименена теория стоимостной оценки проектов, осуществлен анализ выгод-затрат нефтесервисных услуг по сегментам бизнеса. Методология сопоставления моделей операционной деятельности международных нефтесервисных компаний и выявления влияния факторов на обоснование выбора механизмов взаимодействия международных нефтесервисных и национальных энергетических компаний основывается на осуществлении странового анализа работы энергетической компании, выявлении особенностей ведения бизнеса на территории России и других стран.</w:t>
      </w:r>
    </w:p>
    <w:p w14:paraId="730A4B96" w14:textId="5A87D0BB" w:rsidR="009529BE" w:rsidRPr="005422ED" w:rsidRDefault="009529BE" w:rsidP="009529BE">
      <w:pPr>
        <w:spacing w:line="360" w:lineRule="auto"/>
        <w:jc w:val="both"/>
        <w:rPr>
          <w:rFonts w:ascii="Times New Roman" w:hAnsi="Times New Roman" w:cs="Times New Roman"/>
          <w:color w:val="000000"/>
          <w:sz w:val="28"/>
          <w:szCs w:val="28"/>
        </w:rPr>
      </w:pPr>
      <w:r w:rsidRPr="005422ED">
        <w:rPr>
          <w:rFonts w:ascii="Times New Roman" w:hAnsi="Times New Roman" w:cs="Times New Roman"/>
          <w:color w:val="000000"/>
          <w:sz w:val="28"/>
          <w:szCs w:val="28"/>
        </w:rPr>
        <w:t xml:space="preserve">В рамках отечественных и зарубежных исследований авторы склонялись к различным методам оценки такого рода проектов: L. Trigeorgis использовал методику реальных опционов для оценки привлекательности инвестиционных проектов, но подавляющее количество исследователей, таких как, например, G. Salahor склонялись к выбору одной из ведущих методик оценки привлекательности проектов: классической методике Discounted Cash Flows (DCF) или более современной модели Modern Asset Pricing (МАР). В основе данной оценки лежит количественное определение основных показателей, влияющих на добывающую компанию как на </w:t>
      </w:r>
      <w:proofErr w:type="gramStart"/>
      <w:r w:rsidRPr="005422ED">
        <w:rPr>
          <w:rFonts w:ascii="Times New Roman" w:hAnsi="Times New Roman" w:cs="Times New Roman"/>
          <w:color w:val="000000"/>
          <w:sz w:val="28"/>
          <w:szCs w:val="28"/>
        </w:rPr>
        <w:t>инвестора  при</w:t>
      </w:r>
      <w:proofErr w:type="gramEnd"/>
      <w:r w:rsidRPr="005422ED">
        <w:rPr>
          <w:rFonts w:ascii="Times New Roman" w:hAnsi="Times New Roman" w:cs="Times New Roman"/>
          <w:color w:val="000000"/>
          <w:sz w:val="28"/>
          <w:szCs w:val="28"/>
        </w:rPr>
        <w:t xml:space="preserve"> принятии решения о заключении контракта с нефтесервисной компанией, такие как NPV, NCF, IRR, ROI и другие.</w:t>
      </w:r>
    </w:p>
    <w:p w14:paraId="275F7A1D" w14:textId="29761821" w:rsidR="00656EBA" w:rsidRPr="005422ED" w:rsidRDefault="00656EBA" w:rsidP="00656EBA">
      <w:pPr>
        <w:pStyle w:val="Default"/>
        <w:spacing w:line="360" w:lineRule="auto"/>
        <w:jc w:val="both"/>
        <w:rPr>
          <w:sz w:val="28"/>
          <w:szCs w:val="28"/>
        </w:rPr>
      </w:pPr>
      <w:r w:rsidRPr="005422ED">
        <w:rPr>
          <w:sz w:val="28"/>
          <w:szCs w:val="28"/>
        </w:rPr>
        <w:lastRenderedPageBreak/>
        <w:t xml:space="preserve">Оценка типового проекта аутсорсинга нефтесервисных услуг разными методиками может привести к противоположным выводам и рекомендациям. Различия в результатах </w:t>
      </w:r>
      <w:proofErr w:type="gramStart"/>
      <w:r w:rsidRPr="005422ED">
        <w:rPr>
          <w:sz w:val="28"/>
          <w:szCs w:val="28"/>
        </w:rPr>
        <w:t>оценки  моделями</w:t>
      </w:r>
      <w:proofErr w:type="gramEnd"/>
      <w:r w:rsidRPr="005422ED">
        <w:rPr>
          <w:sz w:val="28"/>
          <w:szCs w:val="28"/>
        </w:rPr>
        <w:t xml:space="preserve"> DCF и MAP кроятся в соотношении долей капитальных и операционных затрат в периоде исполнения проекта. Методика DCF, применяя единую ставку дисконтирования, занижает операционные затраты компаний в будущих периодах. </w:t>
      </w:r>
      <w:r w:rsidRPr="005422ED">
        <w:rPr>
          <w:rFonts w:eastAsiaTheme="minorHAnsi"/>
          <w:color w:val="auto"/>
          <w:sz w:val="28"/>
          <w:szCs w:val="28"/>
          <w:lang w:eastAsia="en-US"/>
        </w:rPr>
        <w:t xml:space="preserve">В </w:t>
      </w:r>
      <w:r w:rsidRPr="005422ED">
        <w:rPr>
          <w:rFonts w:eastAsiaTheme="minorHAnsi"/>
          <w:sz w:val="28"/>
          <w:szCs w:val="28"/>
          <w:lang w:eastAsia="en-US"/>
        </w:rPr>
        <w:t xml:space="preserve">рамках методики МАР денежные потоки каждого года разделяются на отдельные экономические категории – выручка, издержки, налоговые отчисления, отличающиеся величинами поправки на риск в ставках дисконтирования. В модели </w:t>
      </w:r>
      <w:r w:rsidRPr="005422ED">
        <w:rPr>
          <w:rFonts w:eastAsiaTheme="minorHAnsi"/>
          <w:sz w:val="28"/>
          <w:szCs w:val="28"/>
          <w:lang w:val="en-US" w:eastAsia="en-US"/>
        </w:rPr>
        <w:t>MAP</w:t>
      </w:r>
      <w:r w:rsidRPr="005422ED">
        <w:rPr>
          <w:rFonts w:eastAsiaTheme="minorHAnsi"/>
          <w:sz w:val="28"/>
          <w:szCs w:val="28"/>
          <w:lang w:eastAsia="en-US"/>
        </w:rPr>
        <w:t xml:space="preserve"> используется непрерывная ставка дисконтирования, которая находится путём суммирования рыночной ставки дисконтирования по безрисковым сделкам (в реальном выражении), темпа инфляции и соответствующей данной категории расходов рыночной премии за риск. </w:t>
      </w:r>
      <w:r w:rsidRPr="005422ED">
        <w:rPr>
          <w:sz w:val="28"/>
          <w:szCs w:val="28"/>
        </w:rPr>
        <w:t xml:space="preserve">Ввиду этого, некоторые модели нефтесервисных компаний могут быть не выгодными для энергетических компаний в сравнении с самостоятельной разработкой проекта. </w:t>
      </w:r>
    </w:p>
    <w:p w14:paraId="04857192" w14:textId="0E6293E2" w:rsidR="003E4DB6" w:rsidRPr="005422ED" w:rsidRDefault="009529BE" w:rsidP="008133F3">
      <w:pPr>
        <w:spacing w:line="360" w:lineRule="auto"/>
        <w:jc w:val="both"/>
        <w:rPr>
          <w:rFonts w:ascii="Times New Roman" w:hAnsi="Times New Roman" w:cs="Times New Roman"/>
          <w:color w:val="000000"/>
          <w:sz w:val="28"/>
          <w:szCs w:val="28"/>
        </w:rPr>
      </w:pPr>
      <w:r w:rsidRPr="005422ED">
        <w:rPr>
          <w:rFonts w:ascii="Times New Roman" w:hAnsi="Times New Roman" w:cs="Times New Roman"/>
          <w:color w:val="000000"/>
          <w:sz w:val="28"/>
          <w:szCs w:val="28"/>
        </w:rPr>
        <w:t xml:space="preserve">В рамках ранее проводимых исследований не предпринимались попытки оценить один проект двумя или несколькими методами для сравнения полученных результатов и выявления закономерностей и взаимосвязей. Таким образом, методология данного исследования строится на оценке сценария привлекательности привлечения нефтесервисной компании для национальных компаний в рамках разработки одного из российских нефтегазовых активов. </w:t>
      </w:r>
    </w:p>
    <w:p w14:paraId="74FFA805" w14:textId="77777777" w:rsidR="005422ED" w:rsidRDefault="005422ED" w:rsidP="008133F3">
      <w:pPr>
        <w:spacing w:line="360" w:lineRule="auto"/>
        <w:jc w:val="both"/>
        <w:rPr>
          <w:rFonts w:ascii="Times New Roman" w:hAnsi="Times New Roman" w:cs="Times New Roman"/>
          <w:b/>
          <w:bCs/>
          <w:sz w:val="28"/>
          <w:szCs w:val="28"/>
        </w:rPr>
      </w:pPr>
    </w:p>
    <w:p w14:paraId="47738E62" w14:textId="2A03F5F6" w:rsidR="0096025F" w:rsidRPr="005422ED" w:rsidRDefault="00BB7F7C" w:rsidP="008133F3">
      <w:pPr>
        <w:spacing w:line="360" w:lineRule="auto"/>
        <w:jc w:val="both"/>
        <w:rPr>
          <w:rFonts w:ascii="Times New Roman" w:hAnsi="Times New Roman" w:cs="Times New Roman"/>
          <w:bCs/>
          <w:sz w:val="28"/>
          <w:szCs w:val="28"/>
        </w:rPr>
      </w:pPr>
      <w:r w:rsidRPr="005422ED">
        <w:rPr>
          <w:rFonts w:ascii="Times New Roman" w:hAnsi="Times New Roman" w:cs="Times New Roman"/>
          <w:b/>
          <w:bCs/>
          <w:sz w:val="28"/>
          <w:szCs w:val="28"/>
        </w:rPr>
        <w:t>Основные выводы исследования</w:t>
      </w:r>
      <w:r w:rsidR="008133F3" w:rsidRPr="005422ED">
        <w:rPr>
          <w:rFonts w:ascii="Times New Roman" w:hAnsi="Times New Roman" w:cs="Times New Roman"/>
          <w:b/>
          <w:bCs/>
          <w:sz w:val="28"/>
          <w:szCs w:val="28"/>
        </w:rPr>
        <w:t>:</w:t>
      </w:r>
    </w:p>
    <w:p w14:paraId="7C9D12FB" w14:textId="02092AB3" w:rsidR="004B6BD7" w:rsidRPr="005422ED" w:rsidRDefault="008133F3" w:rsidP="004B6BD7">
      <w:pPr>
        <w:pStyle w:val="a6"/>
        <w:numPr>
          <w:ilvl w:val="0"/>
          <w:numId w:val="15"/>
        </w:numPr>
        <w:spacing w:line="360" w:lineRule="auto"/>
        <w:jc w:val="both"/>
        <w:rPr>
          <w:rFonts w:ascii="Times New Roman" w:hAnsi="Times New Roman" w:cs="Times New Roman"/>
          <w:i/>
          <w:iCs/>
          <w:color w:val="000000"/>
          <w:sz w:val="28"/>
          <w:szCs w:val="28"/>
        </w:rPr>
      </w:pPr>
      <w:r w:rsidRPr="005422ED">
        <w:rPr>
          <w:rFonts w:ascii="Times New Roman" w:hAnsi="Times New Roman" w:cs="Times New Roman"/>
          <w:sz w:val="28"/>
          <w:szCs w:val="28"/>
        </w:rPr>
        <w:t xml:space="preserve">Модели операционной деятельности в нефтяной и нефтесервисной отраслях промышленности цикличны и </w:t>
      </w:r>
      <w:r w:rsidR="009D5558" w:rsidRPr="005422ED">
        <w:rPr>
          <w:rFonts w:ascii="Times New Roman" w:hAnsi="Times New Roman" w:cs="Times New Roman"/>
          <w:sz w:val="28"/>
          <w:szCs w:val="28"/>
        </w:rPr>
        <w:t xml:space="preserve">эволюционируют под влиянием внешних и внутренних условий экономики рынка. </w:t>
      </w:r>
      <w:r w:rsidR="00EA6391" w:rsidRPr="005422ED">
        <w:rPr>
          <w:rFonts w:ascii="Times New Roman" w:hAnsi="Times New Roman" w:cs="Times New Roman"/>
          <w:sz w:val="28"/>
          <w:szCs w:val="28"/>
        </w:rPr>
        <w:t xml:space="preserve">Цикличность и развитие операционных моделей прослеживается на российском рынке. В процессе формирования и становления энергетической отрасли ВИНК </w:t>
      </w:r>
      <w:r w:rsidR="00EA6391" w:rsidRPr="005422ED">
        <w:rPr>
          <w:rFonts w:ascii="Times New Roman" w:hAnsi="Times New Roman" w:cs="Times New Roman"/>
          <w:sz w:val="28"/>
          <w:szCs w:val="28"/>
        </w:rPr>
        <w:lastRenderedPageBreak/>
        <w:t>полностью обеспечивали технологическую сторону проекта собственными силами, за редким исключением привлечения сторонних подрядчиков. Расширение портфеля активов, усложнение технологических требований отрасли и благоприятная ситуация в мировой экономики нефтяной отрасли побудили энергетические компании к диверсификации бизнеса и отделении части направлений по эксплуатации месторождения и передачи нефтесервисным партнерам. Доступность рынка, масштабные инвестиции в технологии и человеческий капитал позволили нефтесервисным компаниям непрерывно расширять портфель предлагаемых на рынке услуг, снижая себестоимость своих работ. Сегодня нефтесервисные компании предлагают на рынке интегрированный сервис, то есть возможность оказания нефтесервисных услуг для группы работ (например, интегрированные проекты бурения, в рамках которых реализован весь спектр услуг, включая каротаж, буровые растворы, ПО и анализ и пр.).</w:t>
      </w:r>
      <w:r w:rsidR="004B6BD7" w:rsidRPr="005422ED">
        <w:rPr>
          <w:rFonts w:ascii="Times New Roman" w:hAnsi="Times New Roman" w:cs="Times New Roman"/>
          <w:sz w:val="28"/>
          <w:szCs w:val="28"/>
        </w:rPr>
        <w:t xml:space="preserve"> </w:t>
      </w:r>
      <w:r w:rsidR="004B6BD7" w:rsidRPr="005422ED">
        <w:rPr>
          <w:rFonts w:ascii="Times New Roman" w:hAnsi="Times New Roman" w:cs="Times New Roman"/>
          <w:i/>
          <w:iCs/>
          <w:sz w:val="28"/>
          <w:szCs w:val="28"/>
        </w:rPr>
        <w:t>(</w:t>
      </w:r>
      <w:hyperlink r:id="rId9" w:tgtFrame="_blank" w:history="1">
        <w:r w:rsidR="004B6BD7" w:rsidRPr="005422ED">
          <w:rPr>
            <w:rFonts w:ascii="Times New Roman" w:hAnsi="Times New Roman" w:cs="Times New Roman"/>
            <w:i/>
            <w:iCs/>
            <w:color w:val="000000"/>
            <w:sz w:val="28"/>
            <w:szCs w:val="28"/>
          </w:rPr>
          <w:t>Уланов В. Л.</w:t>
        </w:r>
      </w:hyperlink>
      <w:r w:rsidR="004B6BD7" w:rsidRPr="005422ED">
        <w:rPr>
          <w:rFonts w:ascii="Times New Roman" w:hAnsi="Times New Roman" w:cs="Times New Roman"/>
          <w:i/>
          <w:iCs/>
          <w:color w:val="000000"/>
          <w:sz w:val="28"/>
          <w:szCs w:val="28"/>
        </w:rPr>
        <w:t>, </w:t>
      </w:r>
      <w:r w:rsidR="004B6BD7" w:rsidRPr="005422ED">
        <w:rPr>
          <w:rFonts w:ascii="Times New Roman" w:hAnsi="Times New Roman" w:cs="Times New Roman"/>
          <w:i/>
          <w:iCs/>
          <w:sz w:val="28"/>
          <w:szCs w:val="28"/>
        </w:rPr>
        <w:t>Симонов К. А.</w:t>
      </w:r>
      <w:r w:rsidR="004B6BD7" w:rsidRPr="005422ED">
        <w:rPr>
          <w:rFonts w:ascii="Times New Roman" w:hAnsi="Times New Roman" w:cs="Times New Roman"/>
          <w:i/>
          <w:iCs/>
          <w:color w:val="000000"/>
          <w:sz w:val="28"/>
          <w:szCs w:val="28"/>
        </w:rPr>
        <w:t> </w:t>
      </w:r>
      <w:hyperlink r:id="rId10" w:tgtFrame="_blank" w:history="1">
        <w:r w:rsidR="004B6BD7" w:rsidRPr="005422ED">
          <w:rPr>
            <w:rFonts w:ascii="Times New Roman" w:hAnsi="Times New Roman" w:cs="Times New Roman"/>
            <w:i/>
            <w:iCs/>
            <w:color w:val="000000"/>
            <w:sz w:val="28"/>
            <w:szCs w:val="28"/>
          </w:rPr>
          <w:t>О формировании российской нефтесервисной отрасли</w:t>
        </w:r>
      </w:hyperlink>
      <w:r w:rsidR="004B6BD7" w:rsidRPr="005422ED">
        <w:rPr>
          <w:rFonts w:ascii="Times New Roman" w:hAnsi="Times New Roman" w:cs="Times New Roman"/>
          <w:i/>
          <w:iCs/>
          <w:color w:val="000000"/>
          <w:sz w:val="28"/>
          <w:szCs w:val="28"/>
        </w:rPr>
        <w:t> // Нефтяное хозяйство. 2019. № 5. С. 34-37.</w:t>
      </w:r>
      <w:r w:rsidR="00DA20B4" w:rsidRPr="005422ED">
        <w:rPr>
          <w:rFonts w:ascii="Times New Roman" w:hAnsi="Times New Roman" w:cs="Times New Roman"/>
          <w:i/>
          <w:iCs/>
          <w:color w:val="000000"/>
          <w:sz w:val="28"/>
          <w:szCs w:val="28"/>
        </w:rPr>
        <w:t>), (Симонов К.А. Взаимодействие энергетических и международных сервисных компаний при формировании нефтесервисного рынка</w:t>
      </w:r>
      <w:r w:rsidR="003E4DB6" w:rsidRPr="005422ED">
        <w:rPr>
          <w:rFonts w:ascii="Times New Roman" w:hAnsi="Times New Roman" w:cs="Times New Roman"/>
          <w:i/>
          <w:iCs/>
          <w:color w:val="000000"/>
          <w:sz w:val="28"/>
          <w:szCs w:val="28"/>
        </w:rPr>
        <w:t xml:space="preserve"> / Международная экономика.</w:t>
      </w:r>
      <w:r w:rsidR="00DA20B4" w:rsidRPr="005422ED">
        <w:rPr>
          <w:rFonts w:ascii="Times New Roman" w:hAnsi="Times New Roman" w:cs="Times New Roman"/>
          <w:i/>
          <w:iCs/>
          <w:color w:val="000000"/>
          <w:sz w:val="28"/>
          <w:szCs w:val="28"/>
        </w:rPr>
        <w:t xml:space="preserve"> 2019. №2)</w:t>
      </w:r>
    </w:p>
    <w:p w14:paraId="373DAAD1" w14:textId="2FA5FACD" w:rsidR="004B6BD7" w:rsidRPr="005422ED" w:rsidRDefault="0069034A" w:rsidP="00A05E68">
      <w:pPr>
        <w:pStyle w:val="a6"/>
        <w:numPr>
          <w:ilvl w:val="0"/>
          <w:numId w:val="15"/>
        </w:numPr>
        <w:spacing w:line="360" w:lineRule="auto"/>
        <w:jc w:val="both"/>
        <w:rPr>
          <w:rFonts w:ascii="Times New Roman" w:hAnsi="Times New Roman" w:cs="Times New Roman"/>
          <w:i/>
          <w:iCs/>
          <w:color w:val="000000"/>
          <w:sz w:val="28"/>
          <w:szCs w:val="28"/>
        </w:rPr>
      </w:pPr>
      <w:r w:rsidRPr="005422ED">
        <w:rPr>
          <w:rFonts w:ascii="Times New Roman" w:hAnsi="Times New Roman" w:cs="Times New Roman"/>
          <w:sz w:val="28"/>
          <w:szCs w:val="28"/>
        </w:rPr>
        <w:t>Методология оценки</w:t>
      </w:r>
      <w:r w:rsidR="002F3EE9" w:rsidRPr="005422ED">
        <w:rPr>
          <w:rFonts w:ascii="Times New Roman" w:hAnsi="Times New Roman" w:cs="Times New Roman"/>
          <w:sz w:val="28"/>
          <w:szCs w:val="28"/>
        </w:rPr>
        <w:t xml:space="preserve"> эффективности моделей привлечения нефтесервисных услуг требует корректировок. </w:t>
      </w:r>
      <w:r w:rsidR="008A3D41" w:rsidRPr="005422ED">
        <w:rPr>
          <w:rFonts w:ascii="Times New Roman" w:hAnsi="Times New Roman" w:cs="Times New Roman"/>
          <w:sz w:val="28"/>
          <w:szCs w:val="28"/>
        </w:rPr>
        <w:t>При оценке передачи на аутсорсинг сервисных услуг энергетические компании оценивают стоимость проекта</w:t>
      </w:r>
      <w:r w:rsidRPr="005422ED">
        <w:rPr>
          <w:rFonts w:ascii="Times New Roman" w:hAnsi="Times New Roman" w:cs="Times New Roman"/>
          <w:sz w:val="28"/>
          <w:szCs w:val="28"/>
        </w:rPr>
        <w:t xml:space="preserve"> в фокусе</w:t>
      </w:r>
      <w:r w:rsidR="008A3D41" w:rsidRPr="005422ED">
        <w:rPr>
          <w:rFonts w:ascii="Times New Roman" w:hAnsi="Times New Roman" w:cs="Times New Roman"/>
          <w:sz w:val="28"/>
          <w:szCs w:val="28"/>
        </w:rPr>
        <w:t xml:space="preserve"> затрат на операционные услуги нефтесервисных компаний. Это влечет изменения в динамике и структуре капитальных и операционных затрат энергетической компании. Чем больше услуг по бурению энергетическая компания отдает на аутсорсинг, тем меньше становятся ее капитальные затраты при одновременном росте операционных расходов. В условиях необходимости выбора соотношения капитальных и операционных </w:t>
      </w:r>
      <w:r w:rsidR="008A3D41" w:rsidRPr="005422ED">
        <w:rPr>
          <w:rFonts w:ascii="Times New Roman" w:hAnsi="Times New Roman" w:cs="Times New Roman"/>
          <w:sz w:val="28"/>
          <w:szCs w:val="28"/>
        </w:rPr>
        <w:lastRenderedPageBreak/>
        <w:t>затрат при стоимостной оценке проекта методика DCF может искажать результаты и привести к необъективным выводам и рекомендациям.</w:t>
      </w:r>
      <w:r w:rsidR="00575AE7" w:rsidRPr="005422ED">
        <w:rPr>
          <w:rFonts w:ascii="Times New Roman" w:hAnsi="Times New Roman" w:cs="Times New Roman"/>
          <w:sz w:val="28"/>
          <w:szCs w:val="28"/>
        </w:rPr>
        <w:t xml:space="preserve"> Методика МАР позволяет нивелировать погрешность в соотношении капитальных и операционных затрат в периоде реализации проекта.</w:t>
      </w:r>
      <w:r w:rsidR="004B6BD7" w:rsidRPr="005422ED">
        <w:rPr>
          <w:rFonts w:ascii="Times New Roman" w:hAnsi="Times New Roman" w:cs="Times New Roman"/>
          <w:sz w:val="28"/>
          <w:szCs w:val="28"/>
        </w:rPr>
        <w:t xml:space="preserve"> </w:t>
      </w:r>
      <w:r w:rsidR="004B6BD7" w:rsidRPr="005422ED">
        <w:rPr>
          <w:rFonts w:ascii="Times New Roman" w:hAnsi="Times New Roman" w:cs="Times New Roman"/>
          <w:i/>
          <w:iCs/>
          <w:sz w:val="28"/>
          <w:szCs w:val="28"/>
          <w:lang w:val="en-US"/>
        </w:rPr>
        <w:t>(</w:t>
      </w:r>
      <w:hyperlink r:id="rId11" w:tgtFrame="_blank" w:history="1">
        <w:r w:rsidR="004B6BD7" w:rsidRPr="005422ED">
          <w:rPr>
            <w:rFonts w:ascii="Times New Roman" w:hAnsi="Times New Roman" w:cs="Times New Roman"/>
            <w:i/>
            <w:iCs/>
            <w:color w:val="000000"/>
            <w:sz w:val="28"/>
            <w:szCs w:val="28"/>
            <w:lang w:val="en-US"/>
          </w:rPr>
          <w:t>Ulanov V. L.</w:t>
        </w:r>
      </w:hyperlink>
      <w:r w:rsidR="004B6BD7" w:rsidRPr="005422ED">
        <w:rPr>
          <w:rFonts w:ascii="Times New Roman" w:hAnsi="Times New Roman" w:cs="Times New Roman"/>
          <w:i/>
          <w:iCs/>
          <w:color w:val="000000"/>
          <w:sz w:val="28"/>
          <w:szCs w:val="28"/>
          <w:lang w:val="en-US"/>
        </w:rPr>
        <w:t>, </w:t>
      </w:r>
      <w:r w:rsidR="004B6BD7" w:rsidRPr="005422ED">
        <w:rPr>
          <w:rFonts w:ascii="Times New Roman" w:hAnsi="Times New Roman" w:cs="Times New Roman"/>
          <w:i/>
          <w:iCs/>
          <w:sz w:val="28"/>
          <w:szCs w:val="28"/>
          <w:lang w:val="en-US"/>
        </w:rPr>
        <w:t>Simonov K.</w:t>
      </w:r>
      <w:r w:rsidR="004B6BD7" w:rsidRPr="005422ED">
        <w:rPr>
          <w:rFonts w:ascii="Times New Roman" w:hAnsi="Times New Roman" w:cs="Times New Roman"/>
          <w:i/>
          <w:iCs/>
          <w:color w:val="000000"/>
          <w:sz w:val="28"/>
          <w:szCs w:val="28"/>
          <w:lang w:val="en-US"/>
        </w:rPr>
        <w:t> </w:t>
      </w:r>
      <w:hyperlink r:id="rId12" w:tgtFrame="_blank" w:history="1">
        <w:r w:rsidR="004B6BD7" w:rsidRPr="005422ED">
          <w:rPr>
            <w:rFonts w:ascii="Times New Roman" w:hAnsi="Times New Roman" w:cs="Times New Roman"/>
            <w:i/>
            <w:iCs/>
            <w:color w:val="000000"/>
            <w:sz w:val="28"/>
            <w:szCs w:val="28"/>
            <w:lang w:val="en-US"/>
          </w:rPr>
          <w:t>When oilfield service companies enter developing economies: a new model for efficiency</w:t>
        </w:r>
      </w:hyperlink>
      <w:r w:rsidR="004B6BD7" w:rsidRPr="005422ED">
        <w:rPr>
          <w:rFonts w:ascii="Times New Roman" w:hAnsi="Times New Roman" w:cs="Times New Roman"/>
          <w:i/>
          <w:iCs/>
          <w:color w:val="000000"/>
          <w:sz w:val="28"/>
          <w:szCs w:val="28"/>
          <w:lang w:val="en-US"/>
        </w:rPr>
        <w:t xml:space="preserve"> // Journal of Business Strategy. </w:t>
      </w:r>
      <w:r w:rsidR="004B6BD7" w:rsidRPr="005422ED">
        <w:rPr>
          <w:rFonts w:ascii="Times New Roman" w:hAnsi="Times New Roman" w:cs="Times New Roman"/>
          <w:i/>
          <w:iCs/>
          <w:color w:val="000000"/>
          <w:sz w:val="28"/>
          <w:szCs w:val="28"/>
        </w:rPr>
        <w:t xml:space="preserve">2020. P. 1-10.) </w:t>
      </w:r>
    </w:p>
    <w:p w14:paraId="28726A3D" w14:textId="77777777" w:rsidR="003E4DB6" w:rsidRPr="005422ED" w:rsidRDefault="00B356CF" w:rsidP="003E4DB6">
      <w:pPr>
        <w:pStyle w:val="a6"/>
        <w:numPr>
          <w:ilvl w:val="0"/>
          <w:numId w:val="15"/>
        </w:numPr>
        <w:spacing w:line="360" w:lineRule="auto"/>
        <w:jc w:val="both"/>
        <w:rPr>
          <w:rFonts w:ascii="Times New Roman" w:hAnsi="Times New Roman" w:cs="Times New Roman"/>
          <w:i/>
          <w:iCs/>
          <w:color w:val="000000"/>
          <w:sz w:val="28"/>
          <w:szCs w:val="28"/>
          <w:lang w:val="en-US"/>
        </w:rPr>
      </w:pPr>
      <w:r w:rsidRPr="005422ED">
        <w:rPr>
          <w:rFonts w:ascii="Times New Roman" w:hAnsi="Times New Roman" w:cs="Times New Roman"/>
          <w:sz w:val="28"/>
          <w:szCs w:val="28"/>
        </w:rPr>
        <w:t>Апробация эффекта разных операционных моделей нефтесервисных компаний, отличием которых является глубина сервисных услуг, приводит к разным стоимостным оценкам проекта и рекомендациям по его реализации.</w:t>
      </w:r>
      <w:r w:rsidR="004B6BD7" w:rsidRPr="005422ED">
        <w:rPr>
          <w:rFonts w:ascii="Times New Roman" w:hAnsi="Times New Roman" w:cs="Times New Roman"/>
          <w:sz w:val="28"/>
          <w:szCs w:val="28"/>
        </w:rPr>
        <w:t xml:space="preserve"> </w:t>
      </w:r>
      <w:r w:rsidR="004B6BD7" w:rsidRPr="005422ED">
        <w:rPr>
          <w:rFonts w:ascii="Times New Roman" w:hAnsi="Times New Roman" w:cs="Times New Roman"/>
          <w:i/>
          <w:iCs/>
          <w:sz w:val="28"/>
          <w:szCs w:val="28"/>
          <w:lang w:val="en-US"/>
        </w:rPr>
        <w:t>(</w:t>
      </w:r>
      <w:hyperlink r:id="rId13" w:tgtFrame="_blank" w:history="1">
        <w:r w:rsidR="004B6BD7" w:rsidRPr="005422ED">
          <w:rPr>
            <w:rFonts w:ascii="Times New Roman" w:hAnsi="Times New Roman" w:cs="Times New Roman"/>
            <w:i/>
            <w:iCs/>
            <w:color w:val="000000"/>
            <w:sz w:val="28"/>
            <w:szCs w:val="28"/>
            <w:lang w:val="en-US"/>
          </w:rPr>
          <w:t>Ulanov V. L.</w:t>
        </w:r>
      </w:hyperlink>
      <w:r w:rsidR="004B6BD7" w:rsidRPr="005422ED">
        <w:rPr>
          <w:rFonts w:ascii="Times New Roman" w:hAnsi="Times New Roman" w:cs="Times New Roman"/>
          <w:i/>
          <w:iCs/>
          <w:color w:val="000000"/>
          <w:sz w:val="28"/>
          <w:szCs w:val="28"/>
          <w:lang w:val="en-US"/>
        </w:rPr>
        <w:t>, </w:t>
      </w:r>
      <w:r w:rsidR="004B6BD7" w:rsidRPr="005422ED">
        <w:rPr>
          <w:rFonts w:ascii="Times New Roman" w:hAnsi="Times New Roman" w:cs="Times New Roman"/>
          <w:i/>
          <w:iCs/>
          <w:sz w:val="28"/>
          <w:szCs w:val="28"/>
          <w:lang w:val="en-US"/>
        </w:rPr>
        <w:t>Simonov K.</w:t>
      </w:r>
      <w:r w:rsidR="004B6BD7" w:rsidRPr="005422ED">
        <w:rPr>
          <w:rFonts w:ascii="Times New Roman" w:hAnsi="Times New Roman" w:cs="Times New Roman"/>
          <w:i/>
          <w:iCs/>
          <w:color w:val="000000"/>
          <w:sz w:val="28"/>
          <w:szCs w:val="28"/>
          <w:lang w:val="en-US"/>
        </w:rPr>
        <w:t> </w:t>
      </w:r>
      <w:hyperlink r:id="rId14" w:tgtFrame="_blank" w:history="1">
        <w:r w:rsidR="004B6BD7" w:rsidRPr="005422ED">
          <w:rPr>
            <w:rFonts w:ascii="Times New Roman" w:hAnsi="Times New Roman" w:cs="Times New Roman"/>
            <w:i/>
            <w:iCs/>
            <w:color w:val="000000"/>
            <w:sz w:val="28"/>
            <w:szCs w:val="28"/>
            <w:lang w:val="en-US"/>
          </w:rPr>
          <w:t>When oilfield service companies enter developing economies: a new model for efficiency</w:t>
        </w:r>
      </w:hyperlink>
      <w:r w:rsidR="004B6BD7" w:rsidRPr="005422ED">
        <w:rPr>
          <w:rFonts w:ascii="Times New Roman" w:hAnsi="Times New Roman" w:cs="Times New Roman"/>
          <w:i/>
          <w:iCs/>
          <w:color w:val="000000"/>
          <w:sz w:val="28"/>
          <w:szCs w:val="28"/>
          <w:lang w:val="en-US"/>
        </w:rPr>
        <w:t> // Journal of Business Strategy. 2020. P. 1-10.)</w:t>
      </w:r>
    </w:p>
    <w:p w14:paraId="62E95830" w14:textId="3EC76A97" w:rsidR="003E4DB6" w:rsidRPr="005422ED" w:rsidRDefault="00120D5A" w:rsidP="00734BE4">
      <w:pPr>
        <w:pStyle w:val="a6"/>
        <w:numPr>
          <w:ilvl w:val="0"/>
          <w:numId w:val="15"/>
        </w:numPr>
        <w:spacing w:line="360" w:lineRule="auto"/>
        <w:jc w:val="both"/>
        <w:rPr>
          <w:rFonts w:ascii="Times New Roman" w:hAnsi="Times New Roman" w:cs="Times New Roman"/>
          <w:i/>
          <w:iCs/>
          <w:color w:val="000000"/>
          <w:sz w:val="28"/>
          <w:szCs w:val="28"/>
        </w:rPr>
      </w:pPr>
      <w:r w:rsidRPr="005422ED">
        <w:rPr>
          <w:rFonts w:ascii="Times New Roman" w:hAnsi="Times New Roman" w:cs="Times New Roman"/>
          <w:sz w:val="28"/>
          <w:szCs w:val="28"/>
        </w:rPr>
        <w:t>Энергетическим компаниям необходимо учитывать несколько факторов при выборе операционной модели сотрудничества с нефтесервисным партнером</w:t>
      </w:r>
      <w:r w:rsidR="00D7230E" w:rsidRPr="005422ED">
        <w:rPr>
          <w:rFonts w:ascii="Times New Roman" w:hAnsi="Times New Roman" w:cs="Times New Roman"/>
          <w:sz w:val="28"/>
          <w:szCs w:val="28"/>
        </w:rPr>
        <w:t>. Оценивая варианты привлечения нефтесервисных компаний</w:t>
      </w:r>
      <w:r w:rsidR="00211530" w:rsidRPr="005422ED">
        <w:rPr>
          <w:rFonts w:ascii="Times New Roman" w:hAnsi="Times New Roman" w:cs="Times New Roman"/>
          <w:sz w:val="28"/>
          <w:szCs w:val="28"/>
        </w:rPr>
        <w:t>,</w:t>
      </w:r>
      <w:r w:rsidR="00D7230E" w:rsidRPr="005422ED">
        <w:rPr>
          <w:rFonts w:ascii="Times New Roman" w:hAnsi="Times New Roman" w:cs="Times New Roman"/>
          <w:sz w:val="28"/>
          <w:szCs w:val="28"/>
        </w:rPr>
        <w:t xml:space="preserve"> необходимо оценить разную глубину аутсорсинга нефтесервиса, игнорируя наличие собственных сервисных мощностей. </w:t>
      </w:r>
      <w:r w:rsidR="00B356CF" w:rsidRPr="005422ED">
        <w:rPr>
          <w:rFonts w:ascii="Times New Roman" w:hAnsi="Times New Roman" w:cs="Times New Roman"/>
          <w:sz w:val="28"/>
          <w:szCs w:val="28"/>
        </w:rPr>
        <w:t xml:space="preserve">Энергетическим компаниям необходимо подойти к оценке проекта используя многофакторную модель, чтобы корректно оценить все направления сотрудничества с нефтесервисными партнерами. </w:t>
      </w:r>
      <w:r w:rsidR="00D7230E" w:rsidRPr="005422ED">
        <w:rPr>
          <w:rFonts w:ascii="Times New Roman" w:hAnsi="Times New Roman" w:cs="Times New Roman"/>
          <w:sz w:val="28"/>
          <w:szCs w:val="28"/>
        </w:rPr>
        <w:t>Технологии, предлагаемые нефтесервисными компаниями</w:t>
      </w:r>
      <w:r w:rsidR="00211530" w:rsidRPr="005422ED">
        <w:rPr>
          <w:rFonts w:ascii="Times New Roman" w:hAnsi="Times New Roman" w:cs="Times New Roman"/>
          <w:sz w:val="28"/>
          <w:szCs w:val="28"/>
        </w:rPr>
        <w:t xml:space="preserve"> в рамках интегрированного сервиса и затраты, понесенные на них в рамках контракта, способны оказать влияние на экономику проекта эффективнее, чем реализация проекта собственными сервисными силами.</w:t>
      </w:r>
      <w:r w:rsidR="004B6BD7" w:rsidRPr="005422ED">
        <w:rPr>
          <w:rFonts w:ascii="Times New Roman" w:hAnsi="Times New Roman" w:cs="Times New Roman"/>
          <w:sz w:val="28"/>
          <w:szCs w:val="28"/>
        </w:rPr>
        <w:t xml:space="preserve"> </w:t>
      </w:r>
      <w:r w:rsidR="004B6BD7" w:rsidRPr="005422ED">
        <w:rPr>
          <w:rFonts w:ascii="Times New Roman" w:hAnsi="Times New Roman" w:cs="Times New Roman"/>
          <w:i/>
          <w:iCs/>
          <w:sz w:val="28"/>
          <w:szCs w:val="28"/>
          <w:lang w:val="en-US"/>
        </w:rPr>
        <w:t>(</w:t>
      </w:r>
      <w:hyperlink r:id="rId15" w:tgtFrame="_blank" w:history="1">
        <w:r w:rsidR="00AE0C14" w:rsidRPr="005422ED">
          <w:rPr>
            <w:rFonts w:ascii="Times New Roman" w:hAnsi="Times New Roman" w:cs="Times New Roman"/>
            <w:i/>
            <w:iCs/>
            <w:color w:val="000000"/>
            <w:sz w:val="28"/>
            <w:szCs w:val="28"/>
            <w:lang w:val="en-US"/>
          </w:rPr>
          <w:t>Ulanov V. L.</w:t>
        </w:r>
      </w:hyperlink>
      <w:r w:rsidR="00AE0C14" w:rsidRPr="005422ED">
        <w:rPr>
          <w:rFonts w:ascii="Times New Roman" w:hAnsi="Times New Roman" w:cs="Times New Roman"/>
          <w:i/>
          <w:iCs/>
          <w:color w:val="000000"/>
          <w:sz w:val="28"/>
          <w:szCs w:val="28"/>
          <w:lang w:val="en-US"/>
        </w:rPr>
        <w:t>, </w:t>
      </w:r>
      <w:r w:rsidR="00AE0C14" w:rsidRPr="005422ED">
        <w:rPr>
          <w:rFonts w:ascii="Times New Roman" w:hAnsi="Times New Roman" w:cs="Times New Roman"/>
          <w:i/>
          <w:iCs/>
          <w:sz w:val="28"/>
          <w:szCs w:val="28"/>
          <w:lang w:val="en-US"/>
        </w:rPr>
        <w:t>Simonov K.</w:t>
      </w:r>
      <w:r w:rsidR="00AE0C14" w:rsidRPr="005422ED">
        <w:rPr>
          <w:rFonts w:ascii="Times New Roman" w:hAnsi="Times New Roman" w:cs="Times New Roman"/>
          <w:i/>
          <w:iCs/>
          <w:color w:val="000000"/>
          <w:sz w:val="28"/>
          <w:szCs w:val="28"/>
          <w:lang w:val="en-US"/>
        </w:rPr>
        <w:t> E</w:t>
      </w:r>
      <w:r w:rsidR="00AE0C14" w:rsidRPr="005422ED">
        <w:rPr>
          <w:rFonts w:ascii="Times New Roman" w:hAnsi="Times New Roman" w:cs="Times New Roman"/>
          <w:i/>
          <w:iCs/>
          <w:sz w:val="28"/>
          <w:szCs w:val="28"/>
          <w:lang w:val="en-US"/>
        </w:rPr>
        <w:t xml:space="preserve">conomic sustainability of operating models of oilfield service companies (on the example of the Russian market) / Emerging markets, 2020. </w:t>
      </w:r>
      <w:r w:rsidR="00AE0C14" w:rsidRPr="005422ED">
        <w:rPr>
          <w:rFonts w:ascii="Times New Roman" w:hAnsi="Times New Roman" w:cs="Times New Roman"/>
          <w:i/>
          <w:iCs/>
          <w:sz w:val="28"/>
          <w:szCs w:val="28"/>
        </w:rPr>
        <w:t xml:space="preserve">20 </w:t>
      </w:r>
      <w:r w:rsidR="00AE0C14" w:rsidRPr="005422ED">
        <w:rPr>
          <w:rFonts w:ascii="Times New Roman" w:hAnsi="Times New Roman" w:cs="Times New Roman"/>
          <w:i/>
          <w:iCs/>
          <w:sz w:val="28"/>
          <w:szCs w:val="28"/>
          <w:lang w:val="en-US"/>
        </w:rPr>
        <w:t>pp</w:t>
      </w:r>
      <w:r w:rsidR="00AE0C14" w:rsidRPr="005422ED">
        <w:rPr>
          <w:rFonts w:ascii="Times New Roman" w:hAnsi="Times New Roman" w:cs="Times New Roman"/>
          <w:i/>
          <w:iCs/>
          <w:sz w:val="28"/>
          <w:szCs w:val="28"/>
        </w:rPr>
        <w:t xml:space="preserve">. </w:t>
      </w:r>
      <w:r w:rsidR="00AE0C14" w:rsidRPr="005422ED">
        <w:rPr>
          <w:rFonts w:ascii="Times New Roman" w:hAnsi="Times New Roman" w:cs="Times New Roman"/>
          <w:i/>
          <w:iCs/>
          <w:sz w:val="28"/>
          <w:szCs w:val="28"/>
          <w:lang w:val="en-US"/>
        </w:rPr>
        <w:t>ISBN</w:t>
      </w:r>
      <w:r w:rsidR="00AE0C14" w:rsidRPr="005422ED">
        <w:rPr>
          <w:rFonts w:ascii="Times New Roman" w:hAnsi="Times New Roman" w:cs="Times New Roman"/>
          <w:i/>
          <w:iCs/>
          <w:sz w:val="28"/>
          <w:szCs w:val="28"/>
        </w:rPr>
        <w:t xml:space="preserve">: 978-1-83968-435-7- находится на рассмотрении в редакции книги, </w:t>
      </w:r>
      <w:r w:rsidR="00AE0C14" w:rsidRPr="005422ED">
        <w:rPr>
          <w:rFonts w:ascii="Times New Roman" w:hAnsi="Times New Roman" w:cs="Times New Roman"/>
          <w:i/>
          <w:iCs/>
          <w:sz w:val="28"/>
          <w:szCs w:val="28"/>
          <w:lang w:val="en-US"/>
        </w:rPr>
        <w:t>WoS</w:t>
      </w:r>
      <w:r w:rsidR="003E4DB6" w:rsidRPr="005422ED">
        <w:rPr>
          <w:rFonts w:ascii="Times New Roman" w:hAnsi="Times New Roman" w:cs="Times New Roman"/>
          <w:i/>
          <w:iCs/>
          <w:sz w:val="28"/>
          <w:szCs w:val="28"/>
        </w:rPr>
        <w:t>)</w:t>
      </w:r>
    </w:p>
    <w:p w14:paraId="0A276637" w14:textId="1E1BAD12" w:rsidR="00BB7F7C" w:rsidRPr="005422ED" w:rsidRDefault="007F3B57" w:rsidP="00BB7F7C">
      <w:pPr>
        <w:pStyle w:val="a6"/>
        <w:numPr>
          <w:ilvl w:val="0"/>
          <w:numId w:val="15"/>
        </w:numPr>
        <w:spacing w:line="360" w:lineRule="auto"/>
        <w:jc w:val="both"/>
        <w:rPr>
          <w:rFonts w:ascii="Times New Roman" w:hAnsi="Times New Roman" w:cs="Times New Roman"/>
          <w:i/>
          <w:iCs/>
          <w:color w:val="000000"/>
          <w:sz w:val="28"/>
          <w:szCs w:val="28"/>
        </w:rPr>
      </w:pPr>
      <w:r w:rsidRPr="005422ED">
        <w:rPr>
          <w:rFonts w:ascii="Times New Roman" w:hAnsi="Times New Roman" w:cs="Times New Roman"/>
          <w:sz w:val="28"/>
          <w:szCs w:val="28"/>
        </w:rPr>
        <w:lastRenderedPageBreak/>
        <w:t>Технологическое и экономическое развитие нефтесервисной отрасли привело к выходу операционной деятельности нефтесервисных компаний за рамки оказания базовых услуг по обслуживанию сервисного производства. Международные нефтесервисные лидеры способны покрывать большое количество работ по эксплуатации месторождения, в том числе, выполнять функции оператора месторождения. Перед энергетическими компаниями стоит выбор: реализовывать проект собственными силами, отдать на аутсорсинг сервисным компаниям или использовать смешанный тип в разных пропорциях. Корректная методология оценки проектов в зависимости от предлагаемых нефтесервисными компаниями операционных моделей позволит эффективно определить подход к реализации проекта. Ряд традиционных методик (</w:t>
      </w:r>
      <w:r w:rsidRPr="005422ED">
        <w:rPr>
          <w:rFonts w:ascii="Times New Roman" w:hAnsi="Times New Roman" w:cs="Times New Roman"/>
          <w:sz w:val="28"/>
          <w:szCs w:val="28"/>
          <w:lang w:val="en-US"/>
        </w:rPr>
        <w:t>DCF</w:t>
      </w:r>
      <w:r w:rsidRPr="005422ED">
        <w:rPr>
          <w:rFonts w:ascii="Times New Roman" w:hAnsi="Times New Roman" w:cs="Times New Roman"/>
          <w:sz w:val="28"/>
          <w:szCs w:val="28"/>
        </w:rPr>
        <w:t>) не учитывает важные факторы экономики недропользования – неопределенность, вероятность остановки проекта. Современные методики (МАР) позволяют учесть необходимые для прозрачной оценки факторы. (</w:t>
      </w:r>
      <w:r w:rsidR="00AE0C14" w:rsidRPr="005422ED">
        <w:rPr>
          <w:rFonts w:ascii="Times New Roman" w:hAnsi="Times New Roman" w:cs="Times New Roman"/>
          <w:i/>
          <w:iCs/>
          <w:sz w:val="28"/>
          <w:szCs w:val="28"/>
        </w:rPr>
        <w:t>Симонов К.А. Эволюция сотрудничества энергетических и нефтесервисных компаний в мировой экономике и становление нефтесервиса в России как отрасли / Мировая экономика и международные отношения, 2020 – находится на рассмотрении в редакции журнала</w:t>
      </w:r>
      <w:r w:rsidR="003E4DB6" w:rsidRPr="005422ED">
        <w:rPr>
          <w:rFonts w:ascii="Times New Roman" w:hAnsi="Times New Roman" w:cs="Times New Roman"/>
          <w:i/>
          <w:iCs/>
          <w:sz w:val="28"/>
          <w:szCs w:val="28"/>
        </w:rPr>
        <w:t>)</w:t>
      </w:r>
    </w:p>
    <w:p w14:paraId="26CB41F1" w14:textId="18BEF1F1" w:rsidR="005422ED" w:rsidRDefault="005422ED" w:rsidP="005422ED">
      <w:pPr>
        <w:spacing w:line="360" w:lineRule="auto"/>
        <w:jc w:val="both"/>
        <w:rPr>
          <w:rFonts w:ascii="Times New Roman" w:hAnsi="Times New Roman" w:cs="Times New Roman"/>
          <w:i/>
          <w:iCs/>
          <w:color w:val="000000"/>
          <w:sz w:val="28"/>
          <w:szCs w:val="28"/>
        </w:rPr>
      </w:pPr>
    </w:p>
    <w:p w14:paraId="70545C27" w14:textId="6F602772" w:rsidR="005422ED" w:rsidRDefault="005422ED" w:rsidP="005422ED">
      <w:pPr>
        <w:spacing w:line="360" w:lineRule="auto"/>
        <w:jc w:val="both"/>
        <w:rPr>
          <w:rFonts w:ascii="Times New Roman" w:hAnsi="Times New Roman" w:cs="Times New Roman"/>
          <w:i/>
          <w:iCs/>
          <w:color w:val="000000"/>
          <w:sz w:val="28"/>
          <w:szCs w:val="28"/>
        </w:rPr>
      </w:pPr>
    </w:p>
    <w:p w14:paraId="56D6342D" w14:textId="729C949C" w:rsidR="005422ED" w:rsidRDefault="005422ED" w:rsidP="005422ED">
      <w:pPr>
        <w:spacing w:line="360" w:lineRule="auto"/>
        <w:jc w:val="both"/>
        <w:rPr>
          <w:rFonts w:ascii="Times New Roman" w:hAnsi="Times New Roman" w:cs="Times New Roman"/>
          <w:i/>
          <w:iCs/>
          <w:color w:val="000000"/>
          <w:sz w:val="28"/>
          <w:szCs w:val="28"/>
        </w:rPr>
      </w:pPr>
    </w:p>
    <w:p w14:paraId="7BFE24F2" w14:textId="5FDC56EA" w:rsidR="005422ED" w:rsidRDefault="005422ED" w:rsidP="005422ED">
      <w:pPr>
        <w:spacing w:line="360" w:lineRule="auto"/>
        <w:jc w:val="both"/>
        <w:rPr>
          <w:rFonts w:ascii="Times New Roman" w:hAnsi="Times New Roman" w:cs="Times New Roman"/>
          <w:i/>
          <w:iCs/>
          <w:color w:val="000000"/>
          <w:sz w:val="28"/>
          <w:szCs w:val="28"/>
        </w:rPr>
      </w:pPr>
    </w:p>
    <w:p w14:paraId="22FF4AB7" w14:textId="36E2240D" w:rsidR="005422ED" w:rsidRDefault="005422ED" w:rsidP="005422ED">
      <w:pPr>
        <w:spacing w:line="360" w:lineRule="auto"/>
        <w:jc w:val="both"/>
        <w:rPr>
          <w:rFonts w:ascii="Times New Roman" w:hAnsi="Times New Roman" w:cs="Times New Roman"/>
          <w:i/>
          <w:iCs/>
          <w:color w:val="000000"/>
          <w:sz w:val="28"/>
          <w:szCs w:val="28"/>
        </w:rPr>
      </w:pPr>
    </w:p>
    <w:p w14:paraId="1C8DCAD6" w14:textId="06AB2B7E" w:rsidR="005422ED" w:rsidRDefault="005422ED" w:rsidP="005422ED">
      <w:pPr>
        <w:spacing w:line="360" w:lineRule="auto"/>
        <w:jc w:val="both"/>
        <w:rPr>
          <w:rFonts w:ascii="Times New Roman" w:hAnsi="Times New Roman" w:cs="Times New Roman"/>
          <w:i/>
          <w:iCs/>
          <w:color w:val="000000"/>
          <w:sz w:val="28"/>
          <w:szCs w:val="28"/>
        </w:rPr>
      </w:pPr>
    </w:p>
    <w:p w14:paraId="6FB039A4" w14:textId="77777777" w:rsidR="005422ED" w:rsidRPr="005422ED" w:rsidRDefault="005422ED" w:rsidP="005422ED">
      <w:pPr>
        <w:spacing w:line="360" w:lineRule="auto"/>
        <w:jc w:val="both"/>
        <w:rPr>
          <w:rFonts w:ascii="Times New Roman" w:hAnsi="Times New Roman" w:cs="Times New Roman"/>
          <w:i/>
          <w:iCs/>
          <w:color w:val="000000"/>
          <w:sz w:val="28"/>
          <w:szCs w:val="28"/>
        </w:rPr>
      </w:pPr>
    </w:p>
    <w:p w14:paraId="194DB7FD" w14:textId="41EC5809" w:rsidR="003E4DB6" w:rsidRPr="005422ED" w:rsidRDefault="003E4DB6" w:rsidP="003E4DB6">
      <w:pPr>
        <w:pStyle w:val="a6"/>
        <w:spacing w:line="360" w:lineRule="auto"/>
        <w:jc w:val="center"/>
        <w:rPr>
          <w:rFonts w:ascii="Times New Roman" w:hAnsi="Times New Roman" w:cs="Times New Roman"/>
          <w:b/>
          <w:bCs/>
          <w:color w:val="000000"/>
          <w:sz w:val="28"/>
          <w:szCs w:val="28"/>
        </w:rPr>
      </w:pPr>
      <w:r w:rsidRPr="005422ED">
        <w:rPr>
          <w:rFonts w:ascii="Times New Roman" w:hAnsi="Times New Roman" w:cs="Times New Roman"/>
          <w:b/>
          <w:bCs/>
          <w:color w:val="000000"/>
          <w:sz w:val="28"/>
          <w:szCs w:val="28"/>
        </w:rPr>
        <w:lastRenderedPageBreak/>
        <w:t>Список работ, в которых опубликованы результаты исследования</w:t>
      </w:r>
    </w:p>
    <w:p w14:paraId="269CD900" w14:textId="77777777" w:rsidR="003E4DB6" w:rsidRPr="005422ED" w:rsidRDefault="003E4DB6" w:rsidP="003E68DB">
      <w:pPr>
        <w:pStyle w:val="a6"/>
        <w:spacing w:line="360" w:lineRule="auto"/>
        <w:jc w:val="both"/>
        <w:rPr>
          <w:rFonts w:ascii="Times New Roman" w:hAnsi="Times New Roman" w:cs="Times New Roman"/>
          <w:color w:val="000000"/>
          <w:sz w:val="28"/>
          <w:szCs w:val="28"/>
        </w:rPr>
      </w:pPr>
    </w:p>
    <w:p w14:paraId="3A276928" w14:textId="2F743BC3" w:rsidR="003E4DB6" w:rsidRPr="005422ED" w:rsidRDefault="007722E9" w:rsidP="003E4DB6">
      <w:pPr>
        <w:pStyle w:val="a6"/>
        <w:numPr>
          <w:ilvl w:val="0"/>
          <w:numId w:val="17"/>
        </w:numPr>
        <w:spacing w:line="360" w:lineRule="auto"/>
        <w:jc w:val="both"/>
        <w:rPr>
          <w:rFonts w:ascii="Times New Roman" w:hAnsi="Times New Roman" w:cs="Times New Roman"/>
          <w:color w:val="000000"/>
          <w:sz w:val="28"/>
          <w:szCs w:val="28"/>
        </w:rPr>
      </w:pPr>
      <w:hyperlink r:id="rId16" w:tgtFrame="_blank" w:history="1">
        <w:r w:rsidR="003E4DB6" w:rsidRPr="005422ED">
          <w:rPr>
            <w:rFonts w:ascii="Times New Roman" w:hAnsi="Times New Roman" w:cs="Times New Roman"/>
            <w:color w:val="000000"/>
            <w:sz w:val="28"/>
            <w:szCs w:val="28"/>
          </w:rPr>
          <w:t>Уланов В. Л.</w:t>
        </w:r>
      </w:hyperlink>
      <w:r w:rsidR="003E4DB6" w:rsidRPr="005422ED">
        <w:rPr>
          <w:rFonts w:ascii="Times New Roman" w:hAnsi="Times New Roman" w:cs="Times New Roman"/>
          <w:color w:val="000000"/>
          <w:sz w:val="28"/>
          <w:szCs w:val="28"/>
        </w:rPr>
        <w:t>, </w:t>
      </w:r>
      <w:r w:rsidR="003E4DB6" w:rsidRPr="005422ED">
        <w:rPr>
          <w:rFonts w:ascii="Times New Roman" w:hAnsi="Times New Roman" w:cs="Times New Roman"/>
          <w:sz w:val="28"/>
          <w:szCs w:val="28"/>
        </w:rPr>
        <w:t>Симонов К. А.</w:t>
      </w:r>
      <w:r w:rsidR="003E4DB6" w:rsidRPr="005422ED">
        <w:rPr>
          <w:rFonts w:ascii="Times New Roman" w:hAnsi="Times New Roman" w:cs="Times New Roman"/>
          <w:color w:val="000000"/>
          <w:sz w:val="28"/>
          <w:szCs w:val="28"/>
        </w:rPr>
        <w:t> </w:t>
      </w:r>
      <w:hyperlink r:id="rId17" w:tgtFrame="_blank" w:history="1">
        <w:r w:rsidR="003E4DB6" w:rsidRPr="005422ED">
          <w:rPr>
            <w:rFonts w:ascii="Times New Roman" w:hAnsi="Times New Roman" w:cs="Times New Roman"/>
            <w:color w:val="000000"/>
            <w:sz w:val="28"/>
            <w:szCs w:val="28"/>
          </w:rPr>
          <w:t>О формировании российской нефтесервисной отрасли</w:t>
        </w:r>
      </w:hyperlink>
      <w:r w:rsidR="003E4DB6" w:rsidRPr="005422ED">
        <w:rPr>
          <w:rFonts w:ascii="Times New Roman" w:hAnsi="Times New Roman" w:cs="Times New Roman"/>
          <w:color w:val="000000"/>
          <w:sz w:val="28"/>
          <w:szCs w:val="28"/>
        </w:rPr>
        <w:t xml:space="preserve"> // Нефтяное хозяйство. 2019. № 5. С. 34-37. – </w:t>
      </w:r>
      <w:r w:rsidR="003E4DB6" w:rsidRPr="005422ED">
        <w:rPr>
          <w:rFonts w:ascii="Times New Roman" w:hAnsi="Times New Roman" w:cs="Times New Roman"/>
          <w:b/>
          <w:bCs/>
          <w:color w:val="000000"/>
          <w:sz w:val="28"/>
          <w:szCs w:val="28"/>
          <w:lang w:val="en-US"/>
        </w:rPr>
        <w:t>Scopus</w:t>
      </w:r>
      <w:r w:rsidR="003E4DB6" w:rsidRPr="005422ED">
        <w:rPr>
          <w:rFonts w:ascii="Times New Roman" w:hAnsi="Times New Roman" w:cs="Times New Roman"/>
          <w:b/>
          <w:bCs/>
          <w:color w:val="000000"/>
          <w:sz w:val="28"/>
          <w:szCs w:val="28"/>
        </w:rPr>
        <w:t xml:space="preserve">, </w:t>
      </w:r>
      <w:r w:rsidR="003E4DB6" w:rsidRPr="005422ED">
        <w:rPr>
          <w:rFonts w:ascii="Times New Roman" w:hAnsi="Times New Roman" w:cs="Times New Roman"/>
          <w:b/>
          <w:bCs/>
          <w:color w:val="000000"/>
          <w:sz w:val="28"/>
          <w:szCs w:val="28"/>
          <w:lang w:val="en-US"/>
        </w:rPr>
        <w:t>Q3</w:t>
      </w:r>
    </w:p>
    <w:p w14:paraId="5FE3A59F" w14:textId="50DA6EEF" w:rsidR="003E4DB6" w:rsidRPr="005422ED" w:rsidRDefault="006E33FD" w:rsidP="003E4DB6">
      <w:pPr>
        <w:pStyle w:val="a6"/>
        <w:numPr>
          <w:ilvl w:val="0"/>
          <w:numId w:val="17"/>
        </w:numPr>
        <w:spacing w:line="360" w:lineRule="auto"/>
        <w:jc w:val="both"/>
        <w:rPr>
          <w:rFonts w:ascii="Times New Roman" w:hAnsi="Times New Roman" w:cs="Times New Roman"/>
          <w:color w:val="000000"/>
          <w:sz w:val="28"/>
          <w:szCs w:val="28"/>
        </w:rPr>
      </w:pPr>
      <w:hyperlink r:id="rId18" w:tgtFrame="_blank" w:history="1">
        <w:r w:rsidR="003E4DB6" w:rsidRPr="005422ED">
          <w:rPr>
            <w:rFonts w:ascii="Times New Roman" w:hAnsi="Times New Roman" w:cs="Times New Roman"/>
            <w:color w:val="000000"/>
            <w:sz w:val="28"/>
            <w:szCs w:val="28"/>
            <w:lang w:val="en-US"/>
          </w:rPr>
          <w:t>Ulanov V. L.</w:t>
        </w:r>
      </w:hyperlink>
      <w:r w:rsidR="003E4DB6" w:rsidRPr="005422ED">
        <w:rPr>
          <w:rFonts w:ascii="Times New Roman" w:hAnsi="Times New Roman" w:cs="Times New Roman"/>
          <w:color w:val="000000"/>
          <w:sz w:val="28"/>
          <w:szCs w:val="28"/>
          <w:lang w:val="en-US"/>
        </w:rPr>
        <w:t>, </w:t>
      </w:r>
      <w:r w:rsidR="003E4DB6" w:rsidRPr="005422ED">
        <w:rPr>
          <w:rFonts w:ascii="Times New Roman" w:hAnsi="Times New Roman" w:cs="Times New Roman"/>
          <w:sz w:val="28"/>
          <w:szCs w:val="28"/>
          <w:lang w:val="en-US"/>
        </w:rPr>
        <w:t>Simonov K.</w:t>
      </w:r>
      <w:r w:rsidR="003E4DB6" w:rsidRPr="005422ED">
        <w:rPr>
          <w:rFonts w:ascii="Times New Roman" w:hAnsi="Times New Roman" w:cs="Times New Roman"/>
          <w:color w:val="000000"/>
          <w:sz w:val="28"/>
          <w:szCs w:val="28"/>
          <w:lang w:val="en-US"/>
        </w:rPr>
        <w:t> </w:t>
      </w:r>
      <w:hyperlink r:id="rId19" w:tgtFrame="_blank" w:history="1">
        <w:r w:rsidR="003E4DB6" w:rsidRPr="005422ED">
          <w:rPr>
            <w:rFonts w:ascii="Times New Roman" w:hAnsi="Times New Roman" w:cs="Times New Roman"/>
            <w:color w:val="000000"/>
            <w:sz w:val="28"/>
            <w:szCs w:val="28"/>
            <w:lang w:val="en-US"/>
          </w:rPr>
          <w:t>When oilfield service companies enter developing economies: a new model for efficiency</w:t>
        </w:r>
      </w:hyperlink>
      <w:r w:rsidR="003E4DB6" w:rsidRPr="005422ED">
        <w:rPr>
          <w:rFonts w:ascii="Times New Roman" w:hAnsi="Times New Roman" w:cs="Times New Roman"/>
          <w:color w:val="000000"/>
          <w:sz w:val="28"/>
          <w:szCs w:val="28"/>
          <w:lang w:val="en-US"/>
        </w:rPr>
        <w:t xml:space="preserve"> // Journal of Business Strategy. </w:t>
      </w:r>
      <w:r w:rsidR="003E4DB6" w:rsidRPr="005422ED">
        <w:rPr>
          <w:rFonts w:ascii="Times New Roman" w:hAnsi="Times New Roman" w:cs="Times New Roman"/>
          <w:color w:val="000000"/>
          <w:sz w:val="28"/>
          <w:szCs w:val="28"/>
        </w:rPr>
        <w:t>2020. P. 1-10.</w:t>
      </w:r>
      <w:r w:rsidR="003E4DB6" w:rsidRPr="005422ED">
        <w:rPr>
          <w:rFonts w:ascii="Times New Roman" w:hAnsi="Times New Roman" w:cs="Times New Roman"/>
          <w:color w:val="000000"/>
          <w:sz w:val="28"/>
          <w:szCs w:val="28"/>
          <w:lang w:val="en-US"/>
        </w:rPr>
        <w:t xml:space="preserve"> - </w:t>
      </w:r>
      <w:r w:rsidR="003E4DB6" w:rsidRPr="005422ED">
        <w:rPr>
          <w:rFonts w:ascii="Times New Roman" w:hAnsi="Times New Roman" w:cs="Times New Roman"/>
          <w:b/>
          <w:bCs/>
          <w:color w:val="000000"/>
          <w:sz w:val="28"/>
          <w:szCs w:val="28"/>
          <w:lang w:val="en-US"/>
        </w:rPr>
        <w:t>Scopus</w:t>
      </w:r>
      <w:r w:rsidR="003E4DB6" w:rsidRPr="005422ED">
        <w:rPr>
          <w:rFonts w:ascii="Times New Roman" w:hAnsi="Times New Roman" w:cs="Times New Roman"/>
          <w:b/>
          <w:bCs/>
          <w:color w:val="000000"/>
          <w:sz w:val="28"/>
          <w:szCs w:val="28"/>
        </w:rPr>
        <w:t xml:space="preserve">, </w:t>
      </w:r>
      <w:r w:rsidR="003E4DB6" w:rsidRPr="005422ED">
        <w:rPr>
          <w:rFonts w:ascii="Times New Roman" w:hAnsi="Times New Roman" w:cs="Times New Roman"/>
          <w:b/>
          <w:bCs/>
          <w:color w:val="000000"/>
          <w:sz w:val="28"/>
          <w:szCs w:val="28"/>
          <w:lang w:val="en-US"/>
        </w:rPr>
        <w:t>Q2</w:t>
      </w:r>
    </w:p>
    <w:p w14:paraId="45C0113A" w14:textId="5F931BB4" w:rsidR="00AE0C14" w:rsidRPr="005422ED" w:rsidRDefault="00AE0C14" w:rsidP="00AE0C14">
      <w:pPr>
        <w:pStyle w:val="a6"/>
        <w:numPr>
          <w:ilvl w:val="0"/>
          <w:numId w:val="17"/>
        </w:numPr>
        <w:spacing w:line="360" w:lineRule="auto"/>
        <w:jc w:val="both"/>
        <w:rPr>
          <w:rFonts w:ascii="Times New Roman" w:hAnsi="Times New Roman" w:cs="Times New Roman"/>
          <w:sz w:val="28"/>
          <w:szCs w:val="28"/>
        </w:rPr>
      </w:pPr>
      <w:hyperlink r:id="rId20" w:tgtFrame="_blank" w:history="1">
        <w:r w:rsidRPr="005422ED">
          <w:rPr>
            <w:rFonts w:ascii="Times New Roman" w:hAnsi="Times New Roman" w:cs="Times New Roman"/>
            <w:color w:val="000000"/>
            <w:sz w:val="28"/>
            <w:szCs w:val="28"/>
            <w:lang w:val="en-US"/>
          </w:rPr>
          <w:t>Ulanov V. L.</w:t>
        </w:r>
      </w:hyperlink>
      <w:r w:rsidRPr="005422ED">
        <w:rPr>
          <w:rFonts w:ascii="Times New Roman" w:hAnsi="Times New Roman" w:cs="Times New Roman"/>
          <w:color w:val="000000"/>
          <w:sz w:val="28"/>
          <w:szCs w:val="28"/>
          <w:lang w:val="en-US"/>
        </w:rPr>
        <w:t>, </w:t>
      </w:r>
      <w:r w:rsidRPr="005422ED">
        <w:rPr>
          <w:rFonts w:ascii="Times New Roman" w:hAnsi="Times New Roman" w:cs="Times New Roman"/>
          <w:sz w:val="28"/>
          <w:szCs w:val="28"/>
          <w:lang w:val="en-US"/>
        </w:rPr>
        <w:t>Simonov K.</w:t>
      </w:r>
      <w:r w:rsidRPr="005422ED">
        <w:rPr>
          <w:rFonts w:ascii="Times New Roman" w:hAnsi="Times New Roman" w:cs="Times New Roman"/>
          <w:color w:val="000000"/>
          <w:sz w:val="28"/>
          <w:szCs w:val="28"/>
          <w:lang w:val="en-US"/>
        </w:rPr>
        <w:t> </w:t>
      </w:r>
      <w:r w:rsidRPr="005422ED">
        <w:rPr>
          <w:rFonts w:ascii="Times New Roman" w:hAnsi="Times New Roman" w:cs="Times New Roman"/>
          <w:color w:val="000000"/>
          <w:sz w:val="28"/>
          <w:szCs w:val="28"/>
          <w:lang w:val="en-US"/>
        </w:rPr>
        <w:t>E</w:t>
      </w:r>
      <w:r w:rsidRPr="005422ED">
        <w:rPr>
          <w:rFonts w:ascii="Times New Roman" w:hAnsi="Times New Roman" w:cs="Times New Roman"/>
          <w:sz w:val="28"/>
          <w:szCs w:val="28"/>
          <w:lang w:val="en-US"/>
        </w:rPr>
        <w:t>conomic sustainability of operating models of oilfield service companies (on the example of the Russian market)</w:t>
      </w:r>
      <w:r w:rsidRPr="005422ED">
        <w:rPr>
          <w:rFonts w:ascii="Times New Roman" w:hAnsi="Times New Roman" w:cs="Times New Roman"/>
          <w:sz w:val="28"/>
          <w:szCs w:val="28"/>
          <w:lang w:val="en-US"/>
        </w:rPr>
        <w:t xml:space="preserve"> / Emerging markets, 2020. </w:t>
      </w:r>
      <w:r w:rsidRPr="005422ED">
        <w:rPr>
          <w:rFonts w:ascii="Times New Roman" w:hAnsi="Times New Roman" w:cs="Times New Roman"/>
          <w:sz w:val="28"/>
          <w:szCs w:val="28"/>
        </w:rPr>
        <w:t xml:space="preserve">20 </w:t>
      </w:r>
      <w:r w:rsidRPr="005422ED">
        <w:rPr>
          <w:rFonts w:ascii="Times New Roman" w:hAnsi="Times New Roman" w:cs="Times New Roman"/>
          <w:sz w:val="28"/>
          <w:szCs w:val="28"/>
          <w:lang w:val="en-US"/>
        </w:rPr>
        <w:t>pp</w:t>
      </w:r>
      <w:r w:rsidRPr="005422ED">
        <w:rPr>
          <w:rFonts w:ascii="Times New Roman" w:hAnsi="Times New Roman" w:cs="Times New Roman"/>
          <w:sz w:val="28"/>
          <w:szCs w:val="28"/>
        </w:rPr>
        <w:t xml:space="preserve">. </w:t>
      </w:r>
      <w:r w:rsidRPr="005422ED">
        <w:rPr>
          <w:rFonts w:ascii="Times New Roman" w:hAnsi="Times New Roman" w:cs="Times New Roman"/>
          <w:sz w:val="28"/>
          <w:szCs w:val="28"/>
          <w:lang w:val="en-US"/>
        </w:rPr>
        <w:t>ISBN</w:t>
      </w:r>
      <w:r w:rsidRPr="005422ED">
        <w:rPr>
          <w:rFonts w:ascii="Times New Roman" w:hAnsi="Times New Roman" w:cs="Times New Roman"/>
          <w:sz w:val="28"/>
          <w:szCs w:val="28"/>
        </w:rPr>
        <w:t xml:space="preserve">: 978-1-83968-435-7- </w:t>
      </w:r>
      <w:r w:rsidRPr="005422ED">
        <w:rPr>
          <w:rFonts w:ascii="Times New Roman" w:hAnsi="Times New Roman" w:cs="Times New Roman"/>
          <w:i/>
          <w:iCs/>
          <w:sz w:val="28"/>
          <w:szCs w:val="28"/>
        </w:rPr>
        <w:t xml:space="preserve">находится на рассмотрении в редакции </w:t>
      </w:r>
      <w:r w:rsidRPr="005422ED">
        <w:rPr>
          <w:rFonts w:ascii="Times New Roman" w:hAnsi="Times New Roman" w:cs="Times New Roman"/>
          <w:i/>
          <w:iCs/>
          <w:sz w:val="28"/>
          <w:szCs w:val="28"/>
        </w:rPr>
        <w:t xml:space="preserve">книги, </w:t>
      </w:r>
      <w:r w:rsidRPr="005422ED">
        <w:rPr>
          <w:rFonts w:ascii="Times New Roman" w:hAnsi="Times New Roman" w:cs="Times New Roman"/>
          <w:i/>
          <w:iCs/>
          <w:sz w:val="28"/>
          <w:szCs w:val="28"/>
          <w:lang w:val="en-US"/>
        </w:rPr>
        <w:t>WoS.</w:t>
      </w:r>
    </w:p>
    <w:p w14:paraId="4DA6D747" w14:textId="13C5452B" w:rsidR="003E4DB6" w:rsidRPr="005422ED" w:rsidRDefault="003E4DB6" w:rsidP="003E4DB6">
      <w:pPr>
        <w:pStyle w:val="a6"/>
        <w:numPr>
          <w:ilvl w:val="0"/>
          <w:numId w:val="17"/>
        </w:numPr>
        <w:spacing w:line="360" w:lineRule="auto"/>
        <w:jc w:val="both"/>
        <w:rPr>
          <w:rFonts w:ascii="Times New Roman" w:hAnsi="Times New Roman" w:cs="Times New Roman"/>
          <w:i/>
          <w:iCs/>
          <w:color w:val="000000"/>
          <w:sz w:val="28"/>
          <w:szCs w:val="28"/>
        </w:rPr>
      </w:pPr>
      <w:r w:rsidRPr="005422ED">
        <w:rPr>
          <w:rFonts w:ascii="Times New Roman" w:hAnsi="Times New Roman" w:cs="Times New Roman"/>
          <w:sz w:val="28"/>
          <w:szCs w:val="28"/>
        </w:rPr>
        <w:t xml:space="preserve">Симонов К.А. Эволюция </w:t>
      </w:r>
      <w:r w:rsidR="00AE0C14" w:rsidRPr="005422ED">
        <w:rPr>
          <w:rFonts w:ascii="Times New Roman" w:hAnsi="Times New Roman" w:cs="Times New Roman"/>
          <w:sz w:val="28"/>
          <w:szCs w:val="28"/>
        </w:rPr>
        <w:t>сотрудничества энергетических и нефтесервисных компаний в мировой экономике и становление нефтесервиса в России как отрасли</w:t>
      </w:r>
      <w:r w:rsidRPr="005422ED">
        <w:rPr>
          <w:rFonts w:ascii="Times New Roman" w:hAnsi="Times New Roman" w:cs="Times New Roman"/>
          <w:sz w:val="28"/>
          <w:szCs w:val="28"/>
        </w:rPr>
        <w:t xml:space="preserve"> / </w:t>
      </w:r>
      <w:r w:rsidR="00AE0C14" w:rsidRPr="005422ED">
        <w:rPr>
          <w:rFonts w:ascii="Times New Roman" w:hAnsi="Times New Roman" w:cs="Times New Roman"/>
          <w:sz w:val="28"/>
          <w:szCs w:val="28"/>
        </w:rPr>
        <w:t>Мировая экономика и международные отношения</w:t>
      </w:r>
      <w:r w:rsidRPr="005422ED">
        <w:rPr>
          <w:rFonts w:ascii="Times New Roman" w:hAnsi="Times New Roman" w:cs="Times New Roman"/>
          <w:sz w:val="28"/>
          <w:szCs w:val="28"/>
        </w:rPr>
        <w:t xml:space="preserve">, 2020 – </w:t>
      </w:r>
      <w:r w:rsidRPr="005422ED">
        <w:rPr>
          <w:rFonts w:ascii="Times New Roman" w:hAnsi="Times New Roman" w:cs="Times New Roman"/>
          <w:i/>
          <w:iCs/>
          <w:sz w:val="28"/>
          <w:szCs w:val="28"/>
        </w:rPr>
        <w:t xml:space="preserve">находится на рассмотрении в редакции журнала – </w:t>
      </w:r>
      <w:r w:rsidR="00AE0C14" w:rsidRPr="005422ED">
        <w:rPr>
          <w:rFonts w:ascii="Times New Roman" w:hAnsi="Times New Roman" w:cs="Times New Roman"/>
          <w:b/>
          <w:bCs/>
          <w:color w:val="000000"/>
          <w:sz w:val="28"/>
          <w:szCs w:val="28"/>
        </w:rPr>
        <w:t>Scopus,</w:t>
      </w:r>
      <w:r w:rsidR="00AE0C14" w:rsidRPr="005422ED">
        <w:rPr>
          <w:rFonts w:ascii="Times New Roman" w:hAnsi="Times New Roman" w:cs="Times New Roman"/>
          <w:i/>
          <w:iCs/>
          <w:sz w:val="28"/>
          <w:szCs w:val="28"/>
        </w:rPr>
        <w:t xml:space="preserve"> </w:t>
      </w:r>
      <w:r w:rsidRPr="005422ED">
        <w:rPr>
          <w:rFonts w:ascii="Times New Roman" w:hAnsi="Times New Roman" w:cs="Times New Roman"/>
          <w:b/>
          <w:bCs/>
          <w:color w:val="000000"/>
          <w:sz w:val="28"/>
          <w:szCs w:val="28"/>
        </w:rPr>
        <w:t xml:space="preserve">ВАК, </w:t>
      </w:r>
      <w:r w:rsidR="009014EF" w:rsidRPr="005422ED">
        <w:rPr>
          <w:rFonts w:ascii="Times New Roman" w:hAnsi="Times New Roman" w:cs="Times New Roman"/>
          <w:b/>
          <w:bCs/>
          <w:color w:val="000000"/>
          <w:sz w:val="28"/>
          <w:szCs w:val="28"/>
        </w:rPr>
        <w:t>перечень НИУ ВШЭ</w:t>
      </w:r>
    </w:p>
    <w:p w14:paraId="5E5067B1" w14:textId="31F8FCAB" w:rsidR="003E4DB6" w:rsidRPr="005422ED" w:rsidRDefault="003E4DB6" w:rsidP="003E4DB6">
      <w:pPr>
        <w:pStyle w:val="a6"/>
        <w:numPr>
          <w:ilvl w:val="0"/>
          <w:numId w:val="17"/>
        </w:numPr>
        <w:spacing w:line="360" w:lineRule="auto"/>
        <w:jc w:val="both"/>
        <w:rPr>
          <w:rFonts w:ascii="Times New Roman" w:hAnsi="Times New Roman" w:cs="Times New Roman"/>
          <w:color w:val="000000"/>
          <w:sz w:val="28"/>
          <w:szCs w:val="28"/>
        </w:rPr>
      </w:pPr>
      <w:r w:rsidRPr="005422ED">
        <w:rPr>
          <w:rFonts w:ascii="Times New Roman" w:hAnsi="Times New Roman" w:cs="Times New Roman"/>
          <w:color w:val="000000"/>
          <w:sz w:val="28"/>
          <w:szCs w:val="28"/>
        </w:rPr>
        <w:t xml:space="preserve">Симонов К.А. Взаимодействие энергетических и международных сервисных компаний при формировании нефтесервисного рынка / Международная экономика. 2019. №2 - </w:t>
      </w:r>
      <w:r w:rsidRPr="005422ED">
        <w:rPr>
          <w:rFonts w:ascii="Times New Roman" w:hAnsi="Times New Roman" w:cs="Times New Roman"/>
          <w:b/>
          <w:bCs/>
          <w:color w:val="000000"/>
          <w:sz w:val="28"/>
          <w:szCs w:val="28"/>
        </w:rPr>
        <w:t>ВАК</w:t>
      </w:r>
    </w:p>
    <w:p w14:paraId="78229E79" w14:textId="104CB312" w:rsidR="003E4DB6" w:rsidRPr="005422ED" w:rsidRDefault="003E4DB6" w:rsidP="003E4DB6">
      <w:pPr>
        <w:pStyle w:val="a6"/>
        <w:numPr>
          <w:ilvl w:val="0"/>
          <w:numId w:val="17"/>
        </w:numPr>
        <w:spacing w:line="360" w:lineRule="auto"/>
        <w:jc w:val="both"/>
        <w:rPr>
          <w:rFonts w:ascii="Times New Roman" w:hAnsi="Times New Roman" w:cs="Times New Roman"/>
          <w:sz w:val="28"/>
          <w:szCs w:val="28"/>
        </w:rPr>
      </w:pPr>
      <w:r w:rsidRPr="005422ED">
        <w:rPr>
          <w:rFonts w:ascii="Times New Roman" w:hAnsi="Times New Roman" w:cs="Times New Roman"/>
          <w:sz w:val="28"/>
          <w:szCs w:val="28"/>
        </w:rPr>
        <w:t>Симонов К. А. </w:t>
      </w:r>
      <w:hyperlink r:id="rId21" w:tgtFrame="_blank" w:history="1">
        <w:r w:rsidR="00CD2801" w:rsidRPr="005422ED">
          <w:rPr>
            <w:rFonts w:ascii="Times New Roman" w:hAnsi="Times New Roman" w:cs="Times New Roman"/>
            <w:sz w:val="28"/>
            <w:szCs w:val="28"/>
          </w:rPr>
          <w:t>Система</w:t>
        </w:r>
        <w:r w:rsidRPr="005422ED">
          <w:rPr>
            <w:rFonts w:ascii="Times New Roman" w:hAnsi="Times New Roman" w:cs="Times New Roman"/>
            <w:sz w:val="28"/>
            <w:szCs w:val="28"/>
          </w:rPr>
          <w:t xml:space="preserve"> планирования закупок как эффективный подход к управлению затратами международной нефтесервисной компании</w:t>
        </w:r>
      </w:hyperlink>
      <w:r w:rsidRPr="005422ED">
        <w:rPr>
          <w:rFonts w:ascii="Times New Roman" w:hAnsi="Times New Roman" w:cs="Times New Roman"/>
          <w:sz w:val="28"/>
          <w:szCs w:val="28"/>
        </w:rPr>
        <w:t xml:space="preserve"> // Недропользование XXI век. 2017. № 6. С. 150-155. - </w:t>
      </w:r>
      <w:r w:rsidRPr="005422ED">
        <w:rPr>
          <w:rFonts w:ascii="Times New Roman" w:hAnsi="Times New Roman" w:cs="Times New Roman"/>
          <w:b/>
          <w:bCs/>
          <w:color w:val="000000"/>
          <w:sz w:val="28"/>
          <w:szCs w:val="28"/>
        </w:rPr>
        <w:t>ВАК</w:t>
      </w:r>
    </w:p>
    <w:p w14:paraId="4B59CE42" w14:textId="67F209FC" w:rsidR="00EF2E47" w:rsidRPr="005422ED" w:rsidRDefault="003E4DB6" w:rsidP="00DE6AAE">
      <w:pPr>
        <w:pStyle w:val="a6"/>
        <w:numPr>
          <w:ilvl w:val="0"/>
          <w:numId w:val="17"/>
        </w:numPr>
        <w:spacing w:line="360" w:lineRule="auto"/>
        <w:jc w:val="both"/>
        <w:rPr>
          <w:rFonts w:ascii="Times New Roman" w:hAnsi="Times New Roman" w:cs="Times New Roman"/>
          <w:b/>
          <w:sz w:val="28"/>
          <w:szCs w:val="28"/>
        </w:rPr>
      </w:pPr>
      <w:r w:rsidRPr="005422ED">
        <w:rPr>
          <w:rFonts w:ascii="Times New Roman" w:hAnsi="Times New Roman" w:cs="Times New Roman"/>
          <w:sz w:val="28"/>
          <w:szCs w:val="28"/>
        </w:rPr>
        <w:t>Симонов К. А. </w:t>
      </w:r>
      <w:hyperlink r:id="rId22" w:tgtFrame="_blank" w:history="1">
        <w:r w:rsidRPr="005422ED">
          <w:rPr>
            <w:rFonts w:ascii="Times New Roman" w:hAnsi="Times New Roman" w:cs="Times New Roman"/>
            <w:sz w:val="28"/>
            <w:szCs w:val="28"/>
          </w:rPr>
          <w:t>Востребованность современных управленческих технологий в организации системы планирования закупок международной нефтесервисной компании</w:t>
        </w:r>
      </w:hyperlink>
      <w:r w:rsidRPr="005422ED">
        <w:rPr>
          <w:rFonts w:ascii="Times New Roman" w:hAnsi="Times New Roman" w:cs="Times New Roman"/>
          <w:sz w:val="28"/>
          <w:szCs w:val="28"/>
        </w:rPr>
        <w:t xml:space="preserve"> // В кн.: Нефть и газ Западной Сибири : материалы Международной научно-технической конференции Т. 3. Тюмень : Тюменский индустриальный университет, 2017. – </w:t>
      </w:r>
      <w:r w:rsidR="009014EF" w:rsidRPr="005422ED">
        <w:rPr>
          <w:rFonts w:ascii="Times New Roman" w:hAnsi="Times New Roman" w:cs="Times New Roman"/>
          <w:b/>
          <w:bCs/>
          <w:sz w:val="28"/>
          <w:szCs w:val="28"/>
        </w:rPr>
        <w:t>Международная научно-техническая конференция «Нефть и газ западной Сибири 2017»</w:t>
      </w:r>
      <w:r w:rsidR="00091853" w:rsidRPr="005422ED">
        <w:rPr>
          <w:rFonts w:ascii="Times New Roman" w:hAnsi="Times New Roman" w:cs="Times New Roman"/>
          <w:b/>
          <w:bCs/>
          <w:sz w:val="28"/>
          <w:szCs w:val="28"/>
        </w:rPr>
        <w:t>.</w:t>
      </w:r>
    </w:p>
    <w:p w14:paraId="549FC901" w14:textId="5B245749" w:rsidR="00EF2E47" w:rsidRPr="005422ED" w:rsidRDefault="00EF2E47" w:rsidP="00EF2E47">
      <w:pPr>
        <w:jc w:val="center"/>
        <w:rPr>
          <w:rFonts w:ascii="Times New Roman" w:hAnsi="Times New Roman" w:cs="Times New Roman"/>
          <w:b/>
          <w:sz w:val="28"/>
          <w:szCs w:val="28"/>
        </w:rPr>
      </w:pPr>
      <w:r w:rsidRPr="005422ED">
        <w:rPr>
          <w:rFonts w:ascii="Times New Roman" w:hAnsi="Times New Roman" w:cs="Times New Roman"/>
          <w:b/>
          <w:sz w:val="28"/>
          <w:szCs w:val="28"/>
        </w:rPr>
        <w:lastRenderedPageBreak/>
        <w:t>Список использованной литературы</w:t>
      </w:r>
    </w:p>
    <w:p w14:paraId="25AFE492" w14:textId="67E07C25" w:rsidR="009014EF" w:rsidRPr="005422ED" w:rsidRDefault="009014EF" w:rsidP="007F3B57">
      <w:pPr>
        <w:rPr>
          <w:rFonts w:ascii="Times New Roman" w:hAnsi="Times New Roman" w:cs="Times New Roman"/>
          <w:b/>
          <w:sz w:val="28"/>
          <w:szCs w:val="28"/>
        </w:rPr>
      </w:pPr>
    </w:p>
    <w:p w14:paraId="2D1F734D" w14:textId="77777777" w:rsidR="00EF2E47" w:rsidRPr="005422ED" w:rsidRDefault="00EF2E47" w:rsidP="00EF2E47">
      <w:pPr>
        <w:pStyle w:val="a6"/>
        <w:numPr>
          <w:ilvl w:val="0"/>
          <w:numId w:val="18"/>
        </w:numPr>
        <w:spacing w:after="160"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Афанасьева А.В. </w:t>
      </w:r>
      <w:hyperlink r:id="rId23" w:history="1">
        <w:r w:rsidRPr="005422ED">
          <w:rPr>
            <w:rFonts w:ascii="Times New Roman" w:hAnsi="Times New Roman" w:cs="Times New Roman"/>
            <w:sz w:val="28"/>
            <w:szCs w:val="28"/>
          </w:rPr>
          <w:t>Конкурентоспособность и устойчивость строительного бизнеса</w:t>
        </w:r>
      </w:hyperlink>
      <w:r w:rsidRPr="005422ED">
        <w:rPr>
          <w:rFonts w:ascii="Times New Roman" w:hAnsi="Times New Roman" w:cs="Times New Roman"/>
          <w:sz w:val="28"/>
          <w:szCs w:val="28"/>
        </w:rPr>
        <w:t> // Российское предпринимательство. (№ 9 / 2010). </w:t>
      </w:r>
    </w:p>
    <w:p w14:paraId="2A971229" w14:textId="77777777" w:rsidR="00EF2E47" w:rsidRPr="005422ED" w:rsidRDefault="00EF2E47" w:rsidP="00EF2E47">
      <w:pPr>
        <w:pStyle w:val="a6"/>
        <w:numPr>
          <w:ilvl w:val="0"/>
          <w:numId w:val="18"/>
        </w:numPr>
        <w:spacing w:after="160"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Голубева А.И., Коновалов А.В., Павлов К.В. </w:t>
      </w:r>
      <w:hyperlink r:id="rId24" w:history="1">
        <w:r w:rsidRPr="005422ED">
          <w:rPr>
            <w:rFonts w:ascii="Times New Roman" w:hAnsi="Times New Roman" w:cs="Times New Roman"/>
            <w:sz w:val="28"/>
            <w:szCs w:val="28"/>
          </w:rPr>
          <w:t>Результативность факторов экономической устойчивости субъектов аграрной сферы и сельских территорий региона</w:t>
        </w:r>
      </w:hyperlink>
      <w:r w:rsidRPr="005422ED">
        <w:rPr>
          <w:rFonts w:ascii="Times New Roman" w:hAnsi="Times New Roman" w:cs="Times New Roman"/>
          <w:sz w:val="28"/>
          <w:szCs w:val="28"/>
        </w:rPr>
        <w:t> // Экономика, предпринимательство и право. (№ 1 / 2020)</w:t>
      </w:r>
    </w:p>
    <w:p w14:paraId="00A089C9" w14:textId="77777777" w:rsidR="00EF2E47" w:rsidRPr="005422ED" w:rsidRDefault="00EF2E47" w:rsidP="00EF2E47">
      <w:pPr>
        <w:pStyle w:val="a6"/>
        <w:numPr>
          <w:ilvl w:val="0"/>
          <w:numId w:val="18"/>
        </w:numPr>
        <w:spacing w:line="360" w:lineRule="auto"/>
        <w:jc w:val="both"/>
        <w:rPr>
          <w:rFonts w:ascii="Times New Roman" w:hAnsi="Times New Roman" w:cs="Times New Roman"/>
          <w:color w:val="000000"/>
          <w:sz w:val="28"/>
          <w:szCs w:val="28"/>
        </w:rPr>
      </w:pPr>
      <w:r w:rsidRPr="005422ED">
        <w:rPr>
          <w:rFonts w:ascii="Times New Roman" w:hAnsi="Times New Roman" w:cs="Times New Roman"/>
          <w:color w:val="000000"/>
          <w:sz w:val="28"/>
          <w:szCs w:val="28"/>
        </w:rPr>
        <w:t>Котляров И. Аутсорсинговая модель организации российской нефтегазовой отрасли: проблемы и пути решения. Вопросы</w:t>
      </w:r>
      <w:r w:rsidRPr="005422ED">
        <w:rPr>
          <w:rFonts w:ascii="Times New Roman" w:hAnsi="Times New Roman" w:cs="Times New Roman"/>
          <w:color w:val="000000"/>
          <w:sz w:val="28"/>
          <w:szCs w:val="28"/>
          <w:lang w:val="en-US"/>
        </w:rPr>
        <w:t xml:space="preserve"> </w:t>
      </w:r>
      <w:r w:rsidRPr="005422ED">
        <w:rPr>
          <w:rFonts w:ascii="Times New Roman" w:hAnsi="Times New Roman" w:cs="Times New Roman"/>
          <w:color w:val="000000"/>
          <w:sz w:val="28"/>
          <w:szCs w:val="28"/>
        </w:rPr>
        <w:t>экономики</w:t>
      </w:r>
      <w:r w:rsidRPr="005422ED">
        <w:rPr>
          <w:rFonts w:ascii="Times New Roman" w:hAnsi="Times New Roman" w:cs="Times New Roman"/>
          <w:color w:val="000000"/>
          <w:sz w:val="28"/>
          <w:szCs w:val="28"/>
          <w:lang w:val="en-US"/>
        </w:rPr>
        <w:t>, 2015, №9, cc. 45-64. [Kotlyarov I. Autsorsingovaya model organizatsii rossiyskoy neftegazovoy otrasly: problem I puty resheniya. Voprosy</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Economiki</w:t>
      </w:r>
      <w:r w:rsidRPr="005422ED">
        <w:rPr>
          <w:rFonts w:ascii="Times New Roman" w:hAnsi="Times New Roman" w:cs="Times New Roman"/>
          <w:color w:val="000000"/>
          <w:sz w:val="28"/>
          <w:szCs w:val="28"/>
        </w:rPr>
        <w:t xml:space="preserve">, 2015, </w:t>
      </w:r>
      <w:r w:rsidRPr="005422ED">
        <w:rPr>
          <w:rFonts w:ascii="Times New Roman" w:hAnsi="Times New Roman" w:cs="Times New Roman"/>
          <w:color w:val="000000"/>
          <w:sz w:val="28"/>
          <w:szCs w:val="28"/>
          <w:lang w:val="en-US"/>
        </w:rPr>
        <w:t>no</w:t>
      </w:r>
      <w:r w:rsidRPr="005422ED">
        <w:rPr>
          <w:rFonts w:ascii="Times New Roman" w:hAnsi="Times New Roman" w:cs="Times New Roman"/>
          <w:color w:val="000000"/>
          <w:sz w:val="28"/>
          <w:szCs w:val="28"/>
        </w:rPr>
        <w:t xml:space="preserve">.9, </w:t>
      </w:r>
      <w:r w:rsidRPr="005422ED">
        <w:rPr>
          <w:rFonts w:ascii="Times New Roman" w:hAnsi="Times New Roman" w:cs="Times New Roman"/>
          <w:color w:val="000000"/>
          <w:sz w:val="28"/>
          <w:szCs w:val="28"/>
          <w:lang w:val="en-US"/>
        </w:rPr>
        <w:t>pp</w:t>
      </w:r>
      <w:r w:rsidRPr="005422ED">
        <w:rPr>
          <w:rFonts w:ascii="Times New Roman" w:hAnsi="Times New Roman" w:cs="Times New Roman"/>
          <w:color w:val="000000"/>
          <w:sz w:val="28"/>
          <w:szCs w:val="28"/>
        </w:rPr>
        <w:t xml:space="preserve">. 45-64.] </w:t>
      </w:r>
      <w:r w:rsidRPr="005422ED">
        <w:rPr>
          <w:rFonts w:ascii="Times New Roman" w:hAnsi="Times New Roman" w:cs="Times New Roman"/>
          <w:color w:val="000000"/>
          <w:sz w:val="28"/>
          <w:szCs w:val="28"/>
          <w:lang w:val="en-US"/>
        </w:rPr>
        <w:t>DOI</w:t>
      </w:r>
      <w:r w:rsidRPr="005422ED">
        <w:rPr>
          <w:rFonts w:ascii="Times New Roman" w:hAnsi="Times New Roman" w:cs="Times New Roman"/>
          <w:color w:val="000000"/>
          <w:sz w:val="28"/>
          <w:szCs w:val="28"/>
        </w:rPr>
        <w:t xml:space="preserve">: </w:t>
      </w:r>
      <w:hyperlink r:id="rId25" w:history="1">
        <w:r w:rsidRPr="005422ED">
          <w:rPr>
            <w:rFonts w:ascii="Times New Roman" w:hAnsi="Times New Roman" w:cs="Times New Roman"/>
            <w:color w:val="000000"/>
            <w:sz w:val="28"/>
            <w:szCs w:val="28"/>
          </w:rPr>
          <w:t>10.32609/0042-8736-2015-9-45-64</w:t>
        </w:r>
      </w:hyperlink>
    </w:p>
    <w:p w14:paraId="29D2A429" w14:textId="77777777" w:rsidR="00EF2E47" w:rsidRPr="005422ED" w:rsidRDefault="00EF2E47" w:rsidP="00EF2E47">
      <w:pPr>
        <w:pStyle w:val="a6"/>
        <w:numPr>
          <w:ilvl w:val="0"/>
          <w:numId w:val="18"/>
        </w:numPr>
        <w:spacing w:line="360" w:lineRule="auto"/>
        <w:rPr>
          <w:rFonts w:ascii="Times New Roman" w:hAnsi="Times New Roman" w:cs="Times New Roman"/>
          <w:color w:val="000000"/>
          <w:sz w:val="28"/>
          <w:szCs w:val="28"/>
        </w:rPr>
      </w:pPr>
      <w:r w:rsidRPr="005422ED">
        <w:rPr>
          <w:rFonts w:ascii="Times New Roman" w:hAnsi="Times New Roman" w:cs="Times New Roman"/>
          <w:color w:val="000000"/>
          <w:sz w:val="28"/>
          <w:szCs w:val="28"/>
        </w:rPr>
        <w:t xml:space="preserve">Крайнова Э., Кузнецов А. Оценка потенциала конкурентоспособности российского рынка геофизических услуг, Записки Горного института, 2013, №1, </w:t>
      </w:r>
      <w:r w:rsidRPr="005422ED">
        <w:rPr>
          <w:rFonts w:ascii="Times New Roman" w:hAnsi="Times New Roman" w:cs="Times New Roman"/>
          <w:color w:val="000000"/>
          <w:sz w:val="28"/>
          <w:szCs w:val="28"/>
          <w:lang w:val="en-US"/>
        </w:rPr>
        <w:t>cc</w:t>
      </w:r>
      <w:r w:rsidRPr="005422ED">
        <w:rPr>
          <w:rFonts w:ascii="Times New Roman" w:hAnsi="Times New Roman" w:cs="Times New Roman"/>
          <w:color w:val="000000"/>
          <w:sz w:val="28"/>
          <w:szCs w:val="28"/>
        </w:rPr>
        <w:t>. 25-28. [</w:t>
      </w:r>
      <w:r w:rsidRPr="005422ED">
        <w:rPr>
          <w:rFonts w:ascii="Times New Roman" w:hAnsi="Times New Roman" w:cs="Times New Roman"/>
          <w:color w:val="000000"/>
          <w:sz w:val="28"/>
          <w:szCs w:val="28"/>
          <w:lang w:val="en-US"/>
        </w:rPr>
        <w:t>Kraynova</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E</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Kuznetsov</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A</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Otsenka</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potentciala</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konkurentosposobnosty</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rossiyskogo</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rynka</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geofizicheskih</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uslug</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Zapiski</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gornogo</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instituta</w:t>
      </w:r>
      <w:r w:rsidRPr="005422ED">
        <w:rPr>
          <w:rFonts w:ascii="Times New Roman" w:hAnsi="Times New Roman" w:cs="Times New Roman"/>
          <w:color w:val="000000"/>
          <w:sz w:val="28"/>
          <w:szCs w:val="28"/>
        </w:rPr>
        <w:t xml:space="preserve">, 2013, </w:t>
      </w:r>
      <w:r w:rsidRPr="005422ED">
        <w:rPr>
          <w:rFonts w:ascii="Times New Roman" w:hAnsi="Times New Roman" w:cs="Times New Roman"/>
          <w:color w:val="000000"/>
          <w:sz w:val="28"/>
          <w:szCs w:val="28"/>
          <w:lang w:val="en-US"/>
        </w:rPr>
        <w:t>no</w:t>
      </w:r>
      <w:r w:rsidRPr="005422ED">
        <w:rPr>
          <w:rFonts w:ascii="Times New Roman" w:hAnsi="Times New Roman" w:cs="Times New Roman"/>
          <w:color w:val="000000"/>
          <w:sz w:val="28"/>
          <w:szCs w:val="28"/>
        </w:rPr>
        <w:t xml:space="preserve">.1, </w:t>
      </w:r>
      <w:r w:rsidRPr="005422ED">
        <w:rPr>
          <w:rFonts w:ascii="Times New Roman" w:hAnsi="Times New Roman" w:cs="Times New Roman"/>
          <w:color w:val="000000"/>
          <w:sz w:val="28"/>
          <w:szCs w:val="28"/>
          <w:lang w:val="en-US"/>
        </w:rPr>
        <w:t>pp</w:t>
      </w:r>
      <w:r w:rsidRPr="005422ED">
        <w:rPr>
          <w:rFonts w:ascii="Times New Roman" w:hAnsi="Times New Roman" w:cs="Times New Roman"/>
          <w:color w:val="000000"/>
          <w:sz w:val="28"/>
          <w:szCs w:val="28"/>
        </w:rPr>
        <w:t>. 25-28]</w:t>
      </w:r>
    </w:p>
    <w:p w14:paraId="10F07EF5" w14:textId="77777777" w:rsidR="00EF2E47" w:rsidRPr="005422ED" w:rsidRDefault="00EF2E47" w:rsidP="00EF2E47">
      <w:pPr>
        <w:pStyle w:val="a6"/>
        <w:numPr>
          <w:ilvl w:val="0"/>
          <w:numId w:val="18"/>
        </w:numPr>
        <w:spacing w:after="160" w:line="360" w:lineRule="auto"/>
        <w:jc w:val="both"/>
        <w:rPr>
          <w:rFonts w:ascii="Times New Roman" w:hAnsi="Times New Roman" w:cs="Times New Roman"/>
          <w:color w:val="000000"/>
          <w:sz w:val="28"/>
          <w:szCs w:val="28"/>
        </w:rPr>
      </w:pPr>
      <w:r w:rsidRPr="005422ED">
        <w:rPr>
          <w:rFonts w:ascii="Times New Roman" w:hAnsi="Times New Roman" w:cs="Times New Roman"/>
          <w:color w:val="000000"/>
          <w:sz w:val="28"/>
          <w:szCs w:val="28"/>
        </w:rPr>
        <w:t xml:space="preserve">4. Крюков В., Токарев А., Севастьянова А., Крюков Я. Российский нефтесервис - найти          свою нишу. Горная промышленность, 2020, №2, </w:t>
      </w:r>
      <w:r w:rsidRPr="005422ED">
        <w:rPr>
          <w:rFonts w:ascii="Times New Roman" w:hAnsi="Times New Roman" w:cs="Times New Roman"/>
          <w:color w:val="000000"/>
          <w:sz w:val="28"/>
          <w:szCs w:val="28"/>
          <w:lang w:val="en-US"/>
        </w:rPr>
        <w:t>cc</w:t>
      </w:r>
      <w:r w:rsidRPr="005422ED">
        <w:rPr>
          <w:rFonts w:ascii="Times New Roman" w:hAnsi="Times New Roman" w:cs="Times New Roman"/>
          <w:color w:val="000000"/>
          <w:sz w:val="28"/>
          <w:szCs w:val="28"/>
        </w:rPr>
        <w:t>.      45-52. [</w:t>
      </w:r>
      <w:r w:rsidRPr="005422ED">
        <w:rPr>
          <w:rFonts w:ascii="Times New Roman" w:hAnsi="Times New Roman" w:cs="Times New Roman"/>
          <w:color w:val="000000"/>
          <w:sz w:val="28"/>
          <w:szCs w:val="28"/>
          <w:lang w:val="en-US"/>
        </w:rPr>
        <w:t>Kryukov</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V</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Tokarev</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A</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Sevastyanova</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A</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Kryukov</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Y</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Rossiykiy</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nefteservic</w:t>
      </w:r>
      <w:r w:rsidRPr="005422ED">
        <w:rPr>
          <w:rFonts w:ascii="Times New Roman" w:hAnsi="Times New Roman" w:cs="Times New Roman"/>
          <w:color w:val="000000"/>
          <w:sz w:val="28"/>
          <w:szCs w:val="28"/>
        </w:rPr>
        <w:t xml:space="preserve"> – </w:t>
      </w:r>
      <w:r w:rsidRPr="005422ED">
        <w:rPr>
          <w:rFonts w:ascii="Times New Roman" w:hAnsi="Times New Roman" w:cs="Times New Roman"/>
          <w:color w:val="000000"/>
          <w:sz w:val="28"/>
          <w:szCs w:val="28"/>
          <w:lang w:val="en-US"/>
        </w:rPr>
        <w:t>naity</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svou</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nishu</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Gornaya</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promyshlennost</w:t>
      </w:r>
      <w:r w:rsidRPr="005422ED">
        <w:rPr>
          <w:rFonts w:ascii="Times New Roman" w:hAnsi="Times New Roman" w:cs="Times New Roman"/>
          <w:color w:val="000000"/>
          <w:sz w:val="28"/>
          <w:szCs w:val="28"/>
        </w:rPr>
        <w:t xml:space="preserve">, 2020, </w:t>
      </w:r>
      <w:r w:rsidRPr="005422ED">
        <w:rPr>
          <w:rFonts w:ascii="Times New Roman" w:hAnsi="Times New Roman" w:cs="Times New Roman"/>
          <w:color w:val="000000"/>
          <w:sz w:val="28"/>
          <w:szCs w:val="28"/>
          <w:lang w:val="en-US"/>
        </w:rPr>
        <w:t>no</w:t>
      </w:r>
      <w:r w:rsidRPr="005422ED">
        <w:rPr>
          <w:rFonts w:ascii="Times New Roman" w:hAnsi="Times New Roman" w:cs="Times New Roman"/>
          <w:color w:val="000000"/>
          <w:sz w:val="28"/>
          <w:szCs w:val="28"/>
        </w:rPr>
        <w:t xml:space="preserve">.2, </w:t>
      </w:r>
      <w:r w:rsidRPr="005422ED">
        <w:rPr>
          <w:rFonts w:ascii="Times New Roman" w:hAnsi="Times New Roman" w:cs="Times New Roman"/>
          <w:color w:val="000000"/>
          <w:sz w:val="28"/>
          <w:szCs w:val="28"/>
          <w:lang w:val="en-US"/>
        </w:rPr>
        <w:t>pp</w:t>
      </w:r>
      <w:r w:rsidRPr="005422ED">
        <w:rPr>
          <w:rFonts w:ascii="Times New Roman" w:hAnsi="Times New Roman" w:cs="Times New Roman"/>
          <w:color w:val="000000"/>
          <w:sz w:val="28"/>
          <w:szCs w:val="28"/>
        </w:rPr>
        <w:t>. 45-52].</w:t>
      </w:r>
    </w:p>
    <w:p w14:paraId="7543359C" w14:textId="77777777" w:rsidR="00EF2E47" w:rsidRPr="005422ED" w:rsidRDefault="00EF2E47" w:rsidP="00EF2E47">
      <w:pPr>
        <w:pStyle w:val="a6"/>
        <w:numPr>
          <w:ilvl w:val="0"/>
          <w:numId w:val="18"/>
        </w:numPr>
        <w:spacing w:after="160"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Макарова С.В. </w:t>
      </w:r>
      <w:hyperlink r:id="rId26" w:history="1">
        <w:r w:rsidRPr="005422ED">
          <w:rPr>
            <w:rFonts w:ascii="Times New Roman" w:hAnsi="Times New Roman" w:cs="Times New Roman"/>
            <w:sz w:val="28"/>
            <w:szCs w:val="28"/>
          </w:rPr>
          <w:t>Механизм комплексной оценки экономической устойчивости промышленных предприятий автостроительной промышленности</w:t>
        </w:r>
      </w:hyperlink>
      <w:r w:rsidRPr="005422ED">
        <w:rPr>
          <w:rFonts w:ascii="Times New Roman" w:hAnsi="Times New Roman" w:cs="Times New Roman"/>
          <w:sz w:val="28"/>
          <w:szCs w:val="28"/>
        </w:rPr>
        <w:t> // Российское предпринимательство. (№ 11 / 2011)</w:t>
      </w:r>
    </w:p>
    <w:p w14:paraId="2E6C977F" w14:textId="77777777" w:rsidR="00EF2E47" w:rsidRPr="005422ED" w:rsidRDefault="00EF2E47" w:rsidP="00EF2E47">
      <w:pPr>
        <w:pStyle w:val="a6"/>
        <w:numPr>
          <w:ilvl w:val="0"/>
          <w:numId w:val="18"/>
        </w:numPr>
        <w:spacing w:line="360" w:lineRule="auto"/>
        <w:jc w:val="both"/>
        <w:rPr>
          <w:rFonts w:ascii="Times New Roman" w:hAnsi="Times New Roman" w:cs="Times New Roman"/>
          <w:color w:val="000000"/>
          <w:sz w:val="28"/>
          <w:szCs w:val="28"/>
          <w:lang w:val="en-US"/>
        </w:rPr>
      </w:pPr>
      <w:r w:rsidRPr="005422ED">
        <w:rPr>
          <w:rFonts w:ascii="Times New Roman" w:hAnsi="Times New Roman" w:cs="Times New Roman"/>
          <w:color w:val="000000"/>
          <w:sz w:val="28"/>
          <w:szCs w:val="28"/>
        </w:rPr>
        <w:t>Массимо. Н. Цена нефти. Пер. с итальянского. Международные отношения, 2012, сс.169. [</w:t>
      </w:r>
      <w:r w:rsidRPr="005422ED">
        <w:rPr>
          <w:rFonts w:ascii="Times New Roman" w:hAnsi="Times New Roman" w:cs="Times New Roman"/>
          <w:color w:val="000000"/>
          <w:sz w:val="28"/>
          <w:szCs w:val="28"/>
          <w:lang w:val="en-US"/>
        </w:rPr>
        <w:t>Massimo</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N</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Tsena</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nefty</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Per. S italyanskogo. Mezhdunarodnyie otnosheniya, 2012, pp. 169.]</w:t>
      </w:r>
    </w:p>
    <w:p w14:paraId="16FCC213" w14:textId="77777777" w:rsidR="00EF2E47" w:rsidRPr="005422ED" w:rsidRDefault="00EF2E47" w:rsidP="00EF2E47">
      <w:pPr>
        <w:pStyle w:val="a6"/>
        <w:numPr>
          <w:ilvl w:val="0"/>
          <w:numId w:val="18"/>
        </w:numPr>
        <w:spacing w:after="160" w:line="360" w:lineRule="auto"/>
        <w:jc w:val="both"/>
        <w:rPr>
          <w:rFonts w:ascii="Times New Roman" w:hAnsi="Times New Roman" w:cs="Times New Roman"/>
          <w:sz w:val="28"/>
          <w:szCs w:val="28"/>
        </w:rPr>
      </w:pPr>
      <w:r w:rsidRPr="005422ED">
        <w:rPr>
          <w:rFonts w:ascii="Times New Roman" w:hAnsi="Times New Roman" w:cs="Times New Roman"/>
          <w:sz w:val="28"/>
          <w:szCs w:val="28"/>
        </w:rPr>
        <w:lastRenderedPageBreak/>
        <w:t>Невмывако В.П. Обеспечение экономической устойчивости предприятий путем оптимизации системы управления качеством услуг // Экономика и социум: современные модели развития. (№ 2 / 2018). </w:t>
      </w:r>
    </w:p>
    <w:p w14:paraId="79AE0BB2" w14:textId="77777777" w:rsidR="00EF2E47" w:rsidRPr="005422ED" w:rsidRDefault="00EF2E47" w:rsidP="00EF2E47">
      <w:pPr>
        <w:pStyle w:val="a6"/>
        <w:numPr>
          <w:ilvl w:val="0"/>
          <w:numId w:val="18"/>
        </w:numPr>
        <w:spacing w:line="360" w:lineRule="auto"/>
        <w:jc w:val="both"/>
        <w:rPr>
          <w:rFonts w:ascii="Times New Roman" w:hAnsi="Times New Roman" w:cs="Times New Roman"/>
          <w:color w:val="000000"/>
          <w:sz w:val="28"/>
          <w:szCs w:val="28"/>
        </w:rPr>
      </w:pPr>
      <w:r w:rsidRPr="005422ED">
        <w:rPr>
          <w:rFonts w:ascii="Times New Roman" w:hAnsi="Times New Roman" w:cs="Times New Roman"/>
          <w:color w:val="000000"/>
          <w:sz w:val="28"/>
          <w:szCs w:val="28"/>
        </w:rPr>
        <w:t>Исаков А., Лирон Э.</w:t>
      </w:r>
      <w:r w:rsidRPr="005422ED">
        <w:rPr>
          <w:rFonts w:ascii="Times New Roman" w:hAnsi="Times New Roman" w:cs="Times New Roman"/>
          <w:i/>
          <w:iCs/>
          <w:color w:val="000000"/>
          <w:sz w:val="28"/>
          <w:szCs w:val="28"/>
        </w:rPr>
        <w:t> </w:t>
      </w:r>
      <w:r w:rsidRPr="005422ED">
        <w:rPr>
          <w:rFonts w:ascii="Times New Roman" w:hAnsi="Times New Roman" w:cs="Times New Roman"/>
          <w:color w:val="000000"/>
          <w:sz w:val="28"/>
          <w:szCs w:val="28"/>
        </w:rPr>
        <w:t>Управление эффективностью деятельности подрядчиков. Нефтяное хозяйство, 2019, №2, сс. 15-20. [</w:t>
      </w:r>
      <w:r w:rsidRPr="005422ED">
        <w:rPr>
          <w:rFonts w:ascii="Times New Roman" w:hAnsi="Times New Roman" w:cs="Times New Roman"/>
          <w:color w:val="000000"/>
          <w:sz w:val="28"/>
          <w:szCs w:val="28"/>
          <w:lang w:val="en-US"/>
        </w:rPr>
        <w:t>Isakov</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A</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Liron</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E</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Upravlenie</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deyatelnosty</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podryadchikov</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Neftyanoe</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khoziaystvo</w:t>
      </w:r>
      <w:r w:rsidRPr="005422ED">
        <w:rPr>
          <w:rFonts w:ascii="Times New Roman" w:hAnsi="Times New Roman" w:cs="Times New Roman"/>
          <w:color w:val="000000"/>
          <w:sz w:val="28"/>
          <w:szCs w:val="28"/>
        </w:rPr>
        <w:t xml:space="preserve">, 2019, </w:t>
      </w:r>
      <w:r w:rsidRPr="005422ED">
        <w:rPr>
          <w:rFonts w:ascii="Times New Roman" w:hAnsi="Times New Roman" w:cs="Times New Roman"/>
          <w:color w:val="000000"/>
          <w:sz w:val="28"/>
          <w:szCs w:val="28"/>
          <w:lang w:val="en-US"/>
        </w:rPr>
        <w:t>no</w:t>
      </w:r>
      <w:r w:rsidRPr="005422ED">
        <w:rPr>
          <w:rFonts w:ascii="Times New Roman" w:hAnsi="Times New Roman" w:cs="Times New Roman"/>
          <w:color w:val="000000"/>
          <w:sz w:val="28"/>
          <w:szCs w:val="28"/>
        </w:rPr>
        <w:t xml:space="preserve">. 2, </w:t>
      </w:r>
      <w:r w:rsidRPr="005422ED">
        <w:rPr>
          <w:rFonts w:ascii="Times New Roman" w:hAnsi="Times New Roman" w:cs="Times New Roman"/>
          <w:color w:val="000000"/>
          <w:sz w:val="28"/>
          <w:szCs w:val="28"/>
          <w:lang w:val="en-US"/>
        </w:rPr>
        <w:t>pp</w:t>
      </w:r>
      <w:r w:rsidRPr="005422ED">
        <w:rPr>
          <w:rFonts w:ascii="Times New Roman" w:hAnsi="Times New Roman" w:cs="Times New Roman"/>
          <w:color w:val="000000"/>
          <w:sz w:val="28"/>
          <w:szCs w:val="28"/>
        </w:rPr>
        <w:t xml:space="preserve">. 15-20] </w:t>
      </w:r>
      <w:r w:rsidRPr="005422ED">
        <w:rPr>
          <w:rFonts w:ascii="Times New Roman" w:hAnsi="Times New Roman" w:cs="Times New Roman"/>
          <w:color w:val="000000"/>
          <w:sz w:val="28"/>
          <w:szCs w:val="28"/>
          <w:lang w:val="en-US"/>
        </w:rPr>
        <w:t>DOI</w:t>
      </w:r>
      <w:r w:rsidRPr="005422ED">
        <w:rPr>
          <w:rFonts w:ascii="Times New Roman" w:hAnsi="Times New Roman" w:cs="Times New Roman"/>
          <w:color w:val="000000"/>
          <w:sz w:val="28"/>
          <w:szCs w:val="28"/>
        </w:rPr>
        <w:t>:</w:t>
      </w:r>
      <w:r w:rsidRPr="005422ED">
        <w:rPr>
          <w:rFonts w:ascii="Times New Roman" w:hAnsi="Times New Roman" w:cs="Times New Roman"/>
          <w:color w:val="000000"/>
          <w:sz w:val="28"/>
          <w:szCs w:val="28"/>
          <w:lang w:val="en-US"/>
        </w:rPr>
        <w:t> </w:t>
      </w:r>
      <w:r w:rsidRPr="005422ED">
        <w:rPr>
          <w:rFonts w:ascii="Times New Roman" w:hAnsi="Times New Roman" w:cs="Times New Roman"/>
          <w:color w:val="000000"/>
          <w:sz w:val="28"/>
          <w:szCs w:val="28"/>
        </w:rPr>
        <w:t>10.24887/0028-2448-2019-3-18-21</w:t>
      </w:r>
    </w:p>
    <w:p w14:paraId="25039FBB" w14:textId="77777777" w:rsidR="00EF2E47" w:rsidRPr="005422ED" w:rsidRDefault="00EF2E47" w:rsidP="00EF2E47">
      <w:pPr>
        <w:pStyle w:val="a6"/>
        <w:numPr>
          <w:ilvl w:val="0"/>
          <w:numId w:val="18"/>
        </w:numPr>
        <w:spacing w:after="160"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Сафонова Т.Ю. </w:t>
      </w:r>
      <w:hyperlink r:id="rId27" w:history="1">
        <w:r w:rsidRPr="005422ED">
          <w:rPr>
            <w:rFonts w:ascii="Times New Roman" w:hAnsi="Times New Roman" w:cs="Times New Roman"/>
            <w:sz w:val="28"/>
            <w:szCs w:val="28"/>
          </w:rPr>
          <w:t>Обеспечение экономической устойчивости компаний нефтегазового сектора в условиях высокой волатильности цен на энергоресурсы</w:t>
        </w:r>
      </w:hyperlink>
      <w:r w:rsidRPr="005422ED">
        <w:rPr>
          <w:rFonts w:ascii="Times New Roman" w:hAnsi="Times New Roman" w:cs="Times New Roman"/>
          <w:sz w:val="28"/>
          <w:szCs w:val="28"/>
        </w:rPr>
        <w:t> // Российское предпринимательство. (№ 7 / 2012).</w:t>
      </w:r>
    </w:p>
    <w:p w14:paraId="17138A59" w14:textId="77777777" w:rsidR="00EF2E47" w:rsidRPr="005422ED" w:rsidRDefault="00EF2E47" w:rsidP="00EF2E47">
      <w:pPr>
        <w:pStyle w:val="a6"/>
        <w:numPr>
          <w:ilvl w:val="0"/>
          <w:numId w:val="18"/>
        </w:numPr>
        <w:spacing w:after="160" w:line="360" w:lineRule="auto"/>
        <w:jc w:val="both"/>
        <w:rPr>
          <w:rFonts w:ascii="Times New Roman" w:hAnsi="Times New Roman" w:cs="Times New Roman"/>
          <w:sz w:val="28"/>
          <w:szCs w:val="28"/>
        </w:rPr>
      </w:pPr>
      <w:r w:rsidRPr="005422ED">
        <w:rPr>
          <w:rFonts w:ascii="Times New Roman" w:hAnsi="Times New Roman" w:cs="Times New Roman"/>
          <w:color w:val="000000"/>
          <w:sz w:val="28"/>
          <w:szCs w:val="28"/>
        </w:rPr>
        <w:t xml:space="preserve">Фадеев А., Череповицын А., Ларичкин Ф. Повышение конкурентоспособности российских поставщиков при освоении арктических нефтегазовых месторождений. ЭКО, 2012, №4, </w:t>
      </w:r>
      <w:r w:rsidRPr="005422ED">
        <w:rPr>
          <w:rFonts w:ascii="Times New Roman" w:hAnsi="Times New Roman" w:cs="Times New Roman"/>
          <w:color w:val="000000"/>
          <w:sz w:val="28"/>
          <w:szCs w:val="28"/>
          <w:lang w:val="en-US"/>
        </w:rPr>
        <w:t>pp</w:t>
      </w:r>
      <w:r w:rsidRPr="005422ED">
        <w:rPr>
          <w:rFonts w:ascii="Times New Roman" w:hAnsi="Times New Roman" w:cs="Times New Roman"/>
          <w:color w:val="000000"/>
          <w:sz w:val="28"/>
          <w:szCs w:val="28"/>
        </w:rPr>
        <w:t>. 163—180. [</w:t>
      </w:r>
      <w:r w:rsidRPr="005422ED">
        <w:rPr>
          <w:rFonts w:ascii="Times New Roman" w:hAnsi="Times New Roman" w:cs="Times New Roman"/>
          <w:color w:val="000000"/>
          <w:sz w:val="28"/>
          <w:szCs w:val="28"/>
          <w:lang w:val="en-US"/>
        </w:rPr>
        <w:t>Faseev</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A</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Cherepovitsyn</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A</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Larichkon</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F</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Povyshenie</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konkurentosposobnosty</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rossiyskih</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postavshikov</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pri</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osvoyenii</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arkticheskih</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neftegazovyh</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mestorozhdeniy</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EKO</w:t>
      </w:r>
      <w:r w:rsidRPr="005422ED">
        <w:rPr>
          <w:rFonts w:ascii="Times New Roman" w:hAnsi="Times New Roman" w:cs="Times New Roman"/>
          <w:color w:val="000000"/>
          <w:sz w:val="28"/>
          <w:szCs w:val="28"/>
        </w:rPr>
        <w:t xml:space="preserve">, 2012, </w:t>
      </w:r>
      <w:r w:rsidRPr="005422ED">
        <w:rPr>
          <w:rFonts w:ascii="Times New Roman" w:hAnsi="Times New Roman" w:cs="Times New Roman"/>
          <w:color w:val="000000"/>
          <w:sz w:val="28"/>
          <w:szCs w:val="28"/>
          <w:lang w:val="en-US"/>
        </w:rPr>
        <w:t>no</w:t>
      </w:r>
      <w:r w:rsidRPr="005422ED">
        <w:rPr>
          <w:rFonts w:ascii="Times New Roman" w:hAnsi="Times New Roman" w:cs="Times New Roman"/>
          <w:color w:val="000000"/>
          <w:sz w:val="28"/>
          <w:szCs w:val="28"/>
        </w:rPr>
        <w:t xml:space="preserve">.4, </w:t>
      </w:r>
      <w:r w:rsidRPr="005422ED">
        <w:rPr>
          <w:rFonts w:ascii="Times New Roman" w:hAnsi="Times New Roman" w:cs="Times New Roman"/>
          <w:color w:val="000000"/>
          <w:sz w:val="28"/>
          <w:szCs w:val="28"/>
          <w:lang w:val="en-US"/>
        </w:rPr>
        <w:t>pp</w:t>
      </w:r>
      <w:r w:rsidRPr="005422ED">
        <w:rPr>
          <w:rFonts w:ascii="Times New Roman" w:hAnsi="Times New Roman" w:cs="Times New Roman"/>
          <w:color w:val="000000"/>
          <w:sz w:val="28"/>
          <w:szCs w:val="28"/>
        </w:rPr>
        <w:t>.163-180.]</w:t>
      </w:r>
    </w:p>
    <w:p w14:paraId="63AF41C3" w14:textId="77777777" w:rsidR="00EF2E47" w:rsidRPr="005422ED" w:rsidRDefault="00EF2E47" w:rsidP="00EF2E47">
      <w:pPr>
        <w:pStyle w:val="a6"/>
        <w:numPr>
          <w:ilvl w:val="0"/>
          <w:numId w:val="18"/>
        </w:numPr>
        <w:spacing w:after="160" w:line="360" w:lineRule="auto"/>
        <w:jc w:val="both"/>
        <w:rPr>
          <w:rFonts w:ascii="Times New Roman" w:hAnsi="Times New Roman" w:cs="Times New Roman"/>
          <w:sz w:val="28"/>
          <w:szCs w:val="28"/>
        </w:rPr>
      </w:pPr>
      <w:r w:rsidRPr="005422ED">
        <w:rPr>
          <w:rFonts w:ascii="Times New Roman" w:hAnsi="Times New Roman" w:cs="Times New Roman"/>
          <w:sz w:val="28"/>
          <w:szCs w:val="28"/>
        </w:rPr>
        <w:t xml:space="preserve">Уланов В., Уланова Е. </w:t>
      </w:r>
      <w:hyperlink r:id="rId28" w:tgtFrame="_blank" w:history="1">
        <w:r w:rsidRPr="005422ED">
          <w:rPr>
            <w:rFonts w:ascii="Times New Roman" w:hAnsi="Times New Roman" w:cs="Times New Roman"/>
            <w:sz w:val="28"/>
            <w:szCs w:val="28"/>
          </w:rPr>
          <w:t>Влияние внешних факторов на национальную энергетическую безопасность. </w:t>
        </w:r>
      </w:hyperlink>
      <w:r w:rsidRPr="005422ED">
        <w:rPr>
          <w:rFonts w:ascii="Times New Roman" w:hAnsi="Times New Roman" w:cs="Times New Roman"/>
          <w:color w:val="000000"/>
          <w:sz w:val="28"/>
          <w:szCs w:val="28"/>
        </w:rPr>
        <w:t xml:space="preserve">Записки Горного института, 2019, №3, </w:t>
      </w:r>
      <w:r w:rsidRPr="005422ED">
        <w:rPr>
          <w:rFonts w:ascii="Times New Roman" w:hAnsi="Times New Roman" w:cs="Times New Roman"/>
          <w:color w:val="000000"/>
          <w:sz w:val="28"/>
          <w:szCs w:val="28"/>
          <w:lang w:val="en-US"/>
        </w:rPr>
        <w:t>cc</w:t>
      </w:r>
      <w:r w:rsidRPr="005422ED">
        <w:rPr>
          <w:rFonts w:ascii="Times New Roman" w:hAnsi="Times New Roman" w:cs="Times New Roman"/>
          <w:color w:val="000000"/>
          <w:sz w:val="28"/>
          <w:szCs w:val="28"/>
        </w:rPr>
        <w:t>. 474-480. [</w:t>
      </w:r>
      <w:r w:rsidRPr="005422ED">
        <w:rPr>
          <w:rFonts w:ascii="Times New Roman" w:hAnsi="Times New Roman" w:cs="Times New Roman"/>
          <w:color w:val="000000"/>
          <w:sz w:val="28"/>
          <w:szCs w:val="28"/>
          <w:lang w:val="en-US"/>
        </w:rPr>
        <w:t>Ulanov</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V</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Ulanova</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E</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Vliyaniye</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vneshnih</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faktorov</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na</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natsionalnuyu</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energeticheskuyu</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bezopasnost</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Zapiski</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Gornogo</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instituta</w:t>
      </w:r>
      <w:r w:rsidRPr="005422ED">
        <w:rPr>
          <w:rFonts w:ascii="Times New Roman" w:hAnsi="Times New Roman" w:cs="Times New Roman"/>
          <w:color w:val="000000"/>
          <w:sz w:val="28"/>
          <w:szCs w:val="28"/>
        </w:rPr>
        <w:t xml:space="preserve">, 2019, </w:t>
      </w:r>
      <w:r w:rsidRPr="005422ED">
        <w:rPr>
          <w:rFonts w:ascii="Times New Roman" w:hAnsi="Times New Roman" w:cs="Times New Roman"/>
          <w:color w:val="000000"/>
          <w:sz w:val="28"/>
          <w:szCs w:val="28"/>
          <w:lang w:val="en-US"/>
        </w:rPr>
        <w:t>no</w:t>
      </w:r>
      <w:r w:rsidRPr="005422ED">
        <w:rPr>
          <w:rFonts w:ascii="Times New Roman" w:hAnsi="Times New Roman" w:cs="Times New Roman"/>
          <w:color w:val="000000"/>
          <w:sz w:val="28"/>
          <w:szCs w:val="28"/>
        </w:rPr>
        <w:t xml:space="preserve">.3, </w:t>
      </w:r>
      <w:r w:rsidRPr="005422ED">
        <w:rPr>
          <w:rFonts w:ascii="Times New Roman" w:hAnsi="Times New Roman" w:cs="Times New Roman"/>
          <w:color w:val="000000"/>
          <w:sz w:val="28"/>
          <w:szCs w:val="28"/>
          <w:lang w:val="en-US"/>
        </w:rPr>
        <w:t>pp</w:t>
      </w:r>
      <w:r w:rsidRPr="005422ED">
        <w:rPr>
          <w:rFonts w:ascii="Times New Roman" w:hAnsi="Times New Roman" w:cs="Times New Roman"/>
          <w:color w:val="000000"/>
          <w:sz w:val="28"/>
          <w:szCs w:val="28"/>
        </w:rPr>
        <w:t>. 474-480.]</w:t>
      </w:r>
    </w:p>
    <w:p w14:paraId="557AAFFA" w14:textId="77777777" w:rsidR="00EF2E47" w:rsidRPr="005422ED" w:rsidRDefault="00EF2E47" w:rsidP="00EF2E47">
      <w:pPr>
        <w:pStyle w:val="a6"/>
        <w:numPr>
          <w:ilvl w:val="0"/>
          <w:numId w:val="18"/>
        </w:numPr>
        <w:spacing w:after="160" w:line="360" w:lineRule="auto"/>
        <w:jc w:val="both"/>
        <w:rPr>
          <w:rFonts w:ascii="Times New Roman" w:hAnsi="Times New Roman" w:cs="Times New Roman"/>
          <w:sz w:val="28"/>
          <w:szCs w:val="28"/>
        </w:rPr>
      </w:pPr>
      <w:r w:rsidRPr="005422ED">
        <w:rPr>
          <w:rFonts w:ascii="Times New Roman" w:hAnsi="Times New Roman" w:cs="Times New Roman"/>
          <w:sz w:val="28"/>
          <w:szCs w:val="28"/>
        </w:rPr>
        <w:t>Уланов В., Симонов К. </w:t>
      </w:r>
      <w:hyperlink r:id="rId29" w:tgtFrame="_blank" w:history="1">
        <w:r w:rsidRPr="005422ED">
          <w:rPr>
            <w:rFonts w:ascii="Times New Roman" w:hAnsi="Times New Roman" w:cs="Times New Roman"/>
            <w:sz w:val="28"/>
            <w:szCs w:val="28"/>
          </w:rPr>
          <w:t>О формировании российской нефтесервисной отрасли. </w:t>
        </w:r>
      </w:hyperlink>
      <w:r w:rsidRPr="005422ED">
        <w:rPr>
          <w:rFonts w:ascii="Times New Roman" w:hAnsi="Times New Roman" w:cs="Times New Roman"/>
          <w:color w:val="000000"/>
          <w:sz w:val="28"/>
          <w:szCs w:val="28"/>
        </w:rPr>
        <w:t>Нефтяное хозяйство, 2019, №</w:t>
      </w:r>
      <w:r w:rsidRPr="005422ED">
        <w:rPr>
          <w:rFonts w:ascii="Times New Roman" w:hAnsi="Times New Roman" w:cs="Times New Roman"/>
          <w:color w:val="000000"/>
          <w:sz w:val="28"/>
          <w:szCs w:val="28"/>
          <w:lang w:val="en-US"/>
        </w:rPr>
        <w:t> </w:t>
      </w:r>
      <w:r w:rsidRPr="005422ED">
        <w:rPr>
          <w:rFonts w:ascii="Times New Roman" w:hAnsi="Times New Roman" w:cs="Times New Roman"/>
          <w:color w:val="000000"/>
          <w:sz w:val="28"/>
          <w:szCs w:val="28"/>
        </w:rPr>
        <w:t xml:space="preserve">5, </w:t>
      </w:r>
      <w:r w:rsidRPr="005422ED">
        <w:rPr>
          <w:rFonts w:ascii="Times New Roman" w:hAnsi="Times New Roman" w:cs="Times New Roman"/>
          <w:color w:val="000000"/>
          <w:sz w:val="28"/>
          <w:szCs w:val="28"/>
          <w:lang w:val="en-US"/>
        </w:rPr>
        <w:t>cc</w:t>
      </w:r>
      <w:r w:rsidRPr="005422ED">
        <w:rPr>
          <w:rFonts w:ascii="Times New Roman" w:hAnsi="Times New Roman" w:cs="Times New Roman"/>
          <w:color w:val="000000"/>
          <w:sz w:val="28"/>
          <w:szCs w:val="28"/>
        </w:rPr>
        <w:t>.34-37.</w:t>
      </w:r>
      <w:r w:rsidRPr="005422ED">
        <w:rPr>
          <w:rFonts w:ascii="Times New Roman" w:hAnsi="Times New Roman" w:cs="Times New Roman"/>
          <w:color w:val="000000"/>
          <w:sz w:val="28"/>
          <w:szCs w:val="28"/>
          <w:lang w:val="en-US"/>
        </w:rPr>
        <w:t> </w:t>
      </w:r>
      <w:r w:rsidRPr="005422ED">
        <w:rPr>
          <w:rFonts w:ascii="Times New Roman" w:hAnsi="Times New Roman" w:cs="Times New Roman"/>
          <w:color w:val="000000"/>
          <w:sz w:val="28"/>
          <w:szCs w:val="28"/>
        </w:rPr>
        <w:t>[</w:t>
      </w:r>
      <w:r w:rsidRPr="005422ED">
        <w:rPr>
          <w:rFonts w:ascii="Times New Roman" w:hAnsi="Times New Roman" w:cs="Times New Roman"/>
          <w:color w:val="000000"/>
          <w:sz w:val="28"/>
          <w:szCs w:val="28"/>
          <w:lang w:val="en-US"/>
        </w:rPr>
        <w:t>Ulanov</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V</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Simonov</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K</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O</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formirovanyi</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rossiyskoi</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nefteservisnoy</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otrasly</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Neftanoe</w:t>
      </w:r>
      <w:r w:rsidRPr="005422ED">
        <w:rPr>
          <w:rFonts w:ascii="Times New Roman" w:hAnsi="Times New Roman" w:cs="Times New Roman"/>
          <w:color w:val="000000"/>
          <w:sz w:val="28"/>
          <w:szCs w:val="28"/>
        </w:rPr>
        <w:t xml:space="preserve"> </w:t>
      </w:r>
      <w:r w:rsidRPr="005422ED">
        <w:rPr>
          <w:rFonts w:ascii="Times New Roman" w:hAnsi="Times New Roman" w:cs="Times New Roman"/>
          <w:color w:val="000000"/>
          <w:sz w:val="28"/>
          <w:szCs w:val="28"/>
          <w:lang w:val="en-US"/>
        </w:rPr>
        <w:t>khozyaistvo</w:t>
      </w:r>
      <w:r w:rsidRPr="005422ED">
        <w:rPr>
          <w:rFonts w:ascii="Times New Roman" w:hAnsi="Times New Roman" w:cs="Times New Roman"/>
          <w:color w:val="000000"/>
          <w:sz w:val="28"/>
          <w:szCs w:val="28"/>
        </w:rPr>
        <w:t xml:space="preserve">, 2019, </w:t>
      </w:r>
      <w:r w:rsidRPr="005422ED">
        <w:rPr>
          <w:rFonts w:ascii="Times New Roman" w:hAnsi="Times New Roman" w:cs="Times New Roman"/>
          <w:color w:val="000000"/>
          <w:sz w:val="28"/>
          <w:szCs w:val="28"/>
          <w:lang w:val="en-US"/>
        </w:rPr>
        <w:t>no</w:t>
      </w:r>
      <w:r w:rsidRPr="005422ED">
        <w:rPr>
          <w:rFonts w:ascii="Times New Roman" w:hAnsi="Times New Roman" w:cs="Times New Roman"/>
          <w:color w:val="000000"/>
          <w:sz w:val="28"/>
          <w:szCs w:val="28"/>
        </w:rPr>
        <w:t xml:space="preserve">.5, </w:t>
      </w:r>
      <w:r w:rsidRPr="005422ED">
        <w:rPr>
          <w:rFonts w:ascii="Times New Roman" w:hAnsi="Times New Roman" w:cs="Times New Roman"/>
          <w:color w:val="000000"/>
          <w:sz w:val="28"/>
          <w:szCs w:val="28"/>
          <w:lang w:val="en-US"/>
        </w:rPr>
        <w:t>pp</w:t>
      </w:r>
      <w:r w:rsidRPr="005422ED">
        <w:rPr>
          <w:rFonts w:ascii="Times New Roman" w:hAnsi="Times New Roman" w:cs="Times New Roman"/>
          <w:color w:val="000000"/>
          <w:sz w:val="28"/>
          <w:szCs w:val="28"/>
        </w:rPr>
        <w:t>. 34-37.]</w:t>
      </w:r>
    </w:p>
    <w:p w14:paraId="5EBDF75D" w14:textId="77777777" w:rsidR="00EF2E47" w:rsidRPr="005422ED" w:rsidRDefault="00EF2E47" w:rsidP="00EF2E47">
      <w:pPr>
        <w:pStyle w:val="a6"/>
        <w:numPr>
          <w:ilvl w:val="0"/>
          <w:numId w:val="18"/>
        </w:numPr>
        <w:spacing w:line="360" w:lineRule="auto"/>
        <w:jc w:val="both"/>
        <w:rPr>
          <w:rFonts w:ascii="Times New Roman" w:hAnsi="Times New Roman" w:cs="Times New Roman"/>
          <w:color w:val="000000"/>
          <w:sz w:val="28"/>
          <w:szCs w:val="28"/>
          <w:lang w:val="en-US"/>
        </w:rPr>
      </w:pPr>
      <w:r w:rsidRPr="005422ED">
        <w:rPr>
          <w:rFonts w:ascii="Times New Roman" w:hAnsi="Times New Roman" w:cs="Times New Roman"/>
          <w:color w:val="000000"/>
          <w:sz w:val="28"/>
          <w:szCs w:val="28"/>
          <w:lang w:val="en-US"/>
        </w:rPr>
        <w:t>Salameh M.G</w:t>
      </w:r>
      <w:r w:rsidRPr="005422ED">
        <w:rPr>
          <w:rFonts w:ascii="Times New Roman" w:hAnsi="Times New Roman" w:cs="Times New Roman"/>
          <w:i/>
          <w:iCs/>
          <w:color w:val="000000"/>
          <w:sz w:val="28"/>
          <w:szCs w:val="28"/>
          <w:lang w:val="en-US"/>
        </w:rPr>
        <w:t>. Impact of U.S. Shale Oil Revolution on the Global Oil Market, the Prise of Oil &amp; Peak Oil</w:t>
      </w:r>
      <w:r w:rsidRPr="005422ED">
        <w:rPr>
          <w:rFonts w:ascii="Times New Roman" w:hAnsi="Times New Roman" w:cs="Times New Roman"/>
          <w:color w:val="000000"/>
          <w:sz w:val="28"/>
          <w:szCs w:val="28"/>
          <w:lang w:val="en-US"/>
        </w:rPr>
        <w:t xml:space="preserve">. International Association for Energy Economics, 2013. pp. 23-34. </w:t>
      </w:r>
    </w:p>
    <w:p w14:paraId="38C79A0E" w14:textId="77777777" w:rsidR="00EF2E47" w:rsidRPr="005422ED" w:rsidRDefault="00EF2E47" w:rsidP="00EF2E47">
      <w:pPr>
        <w:pStyle w:val="a6"/>
        <w:numPr>
          <w:ilvl w:val="0"/>
          <w:numId w:val="18"/>
        </w:numPr>
        <w:spacing w:line="360" w:lineRule="auto"/>
        <w:jc w:val="both"/>
        <w:rPr>
          <w:rFonts w:ascii="Times New Roman" w:hAnsi="Times New Roman" w:cs="Times New Roman"/>
          <w:color w:val="000000"/>
          <w:sz w:val="28"/>
          <w:szCs w:val="28"/>
          <w:lang w:val="en-US"/>
        </w:rPr>
      </w:pPr>
      <w:r w:rsidRPr="005422ED">
        <w:rPr>
          <w:rFonts w:ascii="Times New Roman" w:hAnsi="Times New Roman" w:cs="Times New Roman"/>
          <w:color w:val="000000"/>
          <w:sz w:val="28"/>
          <w:szCs w:val="28"/>
          <w:lang w:val="en-US"/>
        </w:rPr>
        <w:lastRenderedPageBreak/>
        <w:t xml:space="preserve">Smetanina, T. </w:t>
      </w:r>
      <w:r w:rsidRPr="005422ED">
        <w:rPr>
          <w:rFonts w:ascii="Times New Roman" w:hAnsi="Times New Roman" w:cs="Times New Roman"/>
          <w:i/>
          <w:iCs/>
          <w:color w:val="000000"/>
          <w:sz w:val="28"/>
          <w:szCs w:val="28"/>
          <w:lang w:val="en-US"/>
        </w:rPr>
        <w:t>Theoretical basis for defining the economic effect of the degree of standardization of management systems at real economy enterprises</w:t>
      </w:r>
      <w:r w:rsidRPr="005422ED">
        <w:rPr>
          <w:rFonts w:ascii="Times New Roman" w:hAnsi="Times New Roman" w:cs="Times New Roman"/>
          <w:color w:val="000000"/>
          <w:sz w:val="28"/>
          <w:szCs w:val="28"/>
          <w:lang w:val="en-US"/>
        </w:rPr>
        <w:t>. Rossiyskoe predprinimatelstvo</w:t>
      </w:r>
      <w:r w:rsidRPr="005422ED">
        <w:rPr>
          <w:rFonts w:ascii="Times New Roman" w:hAnsi="Times New Roman" w:cs="Times New Roman"/>
          <w:i/>
          <w:iCs/>
          <w:color w:val="000000"/>
          <w:sz w:val="28"/>
          <w:szCs w:val="28"/>
          <w:lang w:val="en-US"/>
        </w:rPr>
        <w:t>,</w:t>
      </w:r>
      <w:r w:rsidRPr="005422ED">
        <w:rPr>
          <w:rFonts w:ascii="Times New Roman" w:hAnsi="Times New Roman" w:cs="Times New Roman"/>
          <w:color w:val="000000"/>
          <w:sz w:val="28"/>
          <w:szCs w:val="28"/>
          <w:lang w:val="en-US"/>
        </w:rPr>
        <w:t xml:space="preserve"> 2015. 1043-1048. </w:t>
      </w:r>
    </w:p>
    <w:p w14:paraId="5C6DDACF" w14:textId="77777777" w:rsidR="00EF2E47" w:rsidRPr="005422ED" w:rsidRDefault="00EF2E47" w:rsidP="00EF2E47">
      <w:pPr>
        <w:pStyle w:val="a6"/>
        <w:numPr>
          <w:ilvl w:val="0"/>
          <w:numId w:val="18"/>
        </w:numPr>
        <w:spacing w:line="360" w:lineRule="auto"/>
        <w:jc w:val="both"/>
        <w:rPr>
          <w:rFonts w:ascii="Times New Roman" w:hAnsi="Times New Roman" w:cs="Times New Roman"/>
          <w:color w:val="000000"/>
          <w:sz w:val="28"/>
          <w:szCs w:val="28"/>
          <w:lang w:val="en-US"/>
        </w:rPr>
      </w:pPr>
      <w:r w:rsidRPr="005422ED">
        <w:rPr>
          <w:rFonts w:ascii="Times New Roman" w:hAnsi="Times New Roman" w:cs="Times New Roman"/>
          <w:color w:val="000000"/>
          <w:sz w:val="28"/>
          <w:szCs w:val="28"/>
          <w:lang w:val="en-US"/>
        </w:rPr>
        <w:t xml:space="preserve">Smith, J., Thompson R. </w:t>
      </w:r>
      <w:r w:rsidRPr="005422ED">
        <w:rPr>
          <w:rFonts w:ascii="Times New Roman" w:hAnsi="Times New Roman" w:cs="Times New Roman"/>
          <w:i/>
          <w:iCs/>
          <w:color w:val="000000"/>
          <w:sz w:val="28"/>
          <w:szCs w:val="28"/>
          <w:lang w:val="en-US"/>
        </w:rPr>
        <w:t xml:space="preserve">Rational Plunging and the Option Value of Sequential Investment: </w:t>
      </w:r>
      <w:proofErr w:type="gramStart"/>
      <w:r w:rsidRPr="005422ED">
        <w:rPr>
          <w:rFonts w:ascii="Times New Roman" w:hAnsi="Times New Roman" w:cs="Times New Roman"/>
          <w:i/>
          <w:iCs/>
          <w:color w:val="000000"/>
          <w:sz w:val="28"/>
          <w:szCs w:val="28"/>
          <w:lang w:val="en-US"/>
        </w:rPr>
        <w:t>the</w:t>
      </w:r>
      <w:proofErr w:type="gramEnd"/>
      <w:r w:rsidRPr="005422ED">
        <w:rPr>
          <w:rFonts w:ascii="Times New Roman" w:hAnsi="Times New Roman" w:cs="Times New Roman"/>
          <w:i/>
          <w:iCs/>
          <w:color w:val="000000"/>
          <w:sz w:val="28"/>
          <w:szCs w:val="28"/>
          <w:lang w:val="en-US"/>
        </w:rPr>
        <w:t xml:space="preserve"> Case of Petroleum Exploration</w:t>
      </w:r>
      <w:r w:rsidRPr="005422ED">
        <w:rPr>
          <w:rFonts w:ascii="Times New Roman" w:hAnsi="Times New Roman" w:cs="Times New Roman"/>
          <w:color w:val="000000"/>
          <w:sz w:val="28"/>
          <w:szCs w:val="28"/>
          <w:lang w:val="en-US"/>
        </w:rPr>
        <w:t>. The Quarterly Review of Economics and Finance, 2009. pp. 1009–1033.</w:t>
      </w:r>
    </w:p>
    <w:p w14:paraId="7D701B3A" w14:textId="77777777" w:rsidR="00EF2E47" w:rsidRPr="005422ED" w:rsidRDefault="00EF2E47" w:rsidP="00EF2E47">
      <w:pPr>
        <w:pStyle w:val="a6"/>
        <w:numPr>
          <w:ilvl w:val="0"/>
          <w:numId w:val="18"/>
        </w:numPr>
        <w:spacing w:line="360" w:lineRule="auto"/>
        <w:jc w:val="both"/>
        <w:rPr>
          <w:rFonts w:ascii="Times New Roman" w:hAnsi="Times New Roman" w:cs="Times New Roman"/>
          <w:color w:val="000000"/>
          <w:sz w:val="28"/>
          <w:szCs w:val="28"/>
          <w:lang w:val="en-US"/>
        </w:rPr>
      </w:pPr>
      <w:r w:rsidRPr="005422ED">
        <w:rPr>
          <w:rFonts w:ascii="Times New Roman" w:hAnsi="Times New Roman" w:cs="Times New Roman"/>
          <w:color w:val="000000"/>
          <w:sz w:val="28"/>
          <w:szCs w:val="28"/>
          <w:lang w:val="en-US"/>
        </w:rPr>
        <w:t>Ulanov V., Simonov K. </w:t>
      </w:r>
      <w:hyperlink r:id="rId30" w:tgtFrame="_blank" w:history="1">
        <w:r w:rsidRPr="005422ED">
          <w:rPr>
            <w:rFonts w:ascii="Times New Roman" w:hAnsi="Times New Roman" w:cs="Times New Roman"/>
            <w:i/>
            <w:iCs/>
            <w:sz w:val="28"/>
            <w:szCs w:val="28"/>
            <w:lang w:val="en-US"/>
          </w:rPr>
          <w:t>When oilfield service companies enter developing economies: a new model for efficiency</w:t>
        </w:r>
      </w:hyperlink>
      <w:r w:rsidRPr="005422ED">
        <w:rPr>
          <w:rFonts w:ascii="Times New Roman" w:hAnsi="Times New Roman" w:cs="Times New Roman"/>
          <w:i/>
          <w:iCs/>
          <w:sz w:val="28"/>
          <w:szCs w:val="28"/>
          <w:lang w:val="en-US"/>
        </w:rPr>
        <w:t>.</w:t>
      </w:r>
      <w:r w:rsidRPr="005422ED">
        <w:rPr>
          <w:rFonts w:ascii="Times New Roman" w:hAnsi="Times New Roman" w:cs="Times New Roman"/>
          <w:color w:val="000000"/>
          <w:sz w:val="28"/>
          <w:szCs w:val="28"/>
          <w:lang w:val="en-US"/>
        </w:rPr>
        <w:t> Journal of Business Strategy, 2020, pp. 1-10.  </w:t>
      </w:r>
    </w:p>
    <w:p w14:paraId="42FA84F2" w14:textId="77777777" w:rsidR="009014EF" w:rsidRPr="005422ED" w:rsidRDefault="009014EF" w:rsidP="007F3B57">
      <w:pPr>
        <w:rPr>
          <w:rFonts w:ascii="Times New Roman" w:hAnsi="Times New Roman" w:cs="Times New Roman"/>
          <w:b/>
          <w:sz w:val="28"/>
          <w:szCs w:val="28"/>
        </w:rPr>
      </w:pPr>
    </w:p>
    <w:sectPr w:rsidR="009014EF" w:rsidRPr="005422ED" w:rsidSect="001E6066">
      <w:footerReference w:type="even" r:id="rId31"/>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102C5" w14:textId="77777777" w:rsidR="007722E9" w:rsidRDefault="007722E9" w:rsidP="00E91DC6">
      <w:pPr>
        <w:spacing w:after="0" w:line="240" w:lineRule="auto"/>
      </w:pPr>
      <w:r>
        <w:separator/>
      </w:r>
    </w:p>
  </w:endnote>
  <w:endnote w:type="continuationSeparator" w:id="0">
    <w:p w14:paraId="44D9F8C7" w14:textId="77777777" w:rsidR="007722E9" w:rsidRDefault="007722E9" w:rsidP="00E9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D2639" w14:textId="77777777" w:rsidR="0091080B" w:rsidRDefault="0091080B" w:rsidP="00A05E68">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FB786D9" w14:textId="77777777" w:rsidR="0091080B" w:rsidRDefault="0091080B" w:rsidP="001E606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FB01B" w14:textId="77777777" w:rsidR="0091080B" w:rsidRDefault="0091080B" w:rsidP="00A05E68">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6025F">
      <w:rPr>
        <w:rStyle w:val="af"/>
        <w:noProof/>
      </w:rPr>
      <w:t>14</w:t>
    </w:r>
    <w:r>
      <w:rPr>
        <w:rStyle w:val="af"/>
      </w:rPr>
      <w:fldChar w:fldCharType="end"/>
    </w:r>
  </w:p>
  <w:p w14:paraId="3EBD88A3" w14:textId="77777777" w:rsidR="0091080B" w:rsidRDefault="0091080B" w:rsidP="001E6066">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A4C44" w14:textId="77777777" w:rsidR="007722E9" w:rsidRDefault="007722E9" w:rsidP="00E91DC6">
      <w:pPr>
        <w:spacing w:after="0" w:line="240" w:lineRule="auto"/>
      </w:pPr>
      <w:r>
        <w:separator/>
      </w:r>
    </w:p>
  </w:footnote>
  <w:footnote w:type="continuationSeparator" w:id="0">
    <w:p w14:paraId="3A8177AE" w14:textId="77777777" w:rsidR="007722E9" w:rsidRDefault="007722E9" w:rsidP="00E91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D79AA"/>
    <w:multiLevelType w:val="hybridMultilevel"/>
    <w:tmpl w:val="74D233B8"/>
    <w:lvl w:ilvl="0" w:tplc="A9FA7C6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328F9"/>
    <w:multiLevelType w:val="hybridMultilevel"/>
    <w:tmpl w:val="982E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17591"/>
    <w:multiLevelType w:val="hybridMultilevel"/>
    <w:tmpl w:val="E86C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3B08D5"/>
    <w:multiLevelType w:val="hybridMultilevel"/>
    <w:tmpl w:val="CBAC3AF4"/>
    <w:lvl w:ilvl="0" w:tplc="C9FECB6E">
      <w:start w:val="1"/>
      <w:numFmt w:val="decimal"/>
      <w:lvlText w:val="%1."/>
      <w:lvlJc w:val="left"/>
      <w:pPr>
        <w:ind w:left="720" w:hanging="360"/>
      </w:pPr>
      <w:rPr>
        <w:rFonts w:asciiTheme="minorHAnsi" w:hAnsiTheme="minorHAnsi" w:cstheme="minorBidi"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FA2E7A"/>
    <w:multiLevelType w:val="hybridMultilevel"/>
    <w:tmpl w:val="421C8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B008A"/>
    <w:multiLevelType w:val="hybridMultilevel"/>
    <w:tmpl w:val="EF8C7170"/>
    <w:lvl w:ilvl="0" w:tplc="64D6F60C">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705AA"/>
    <w:multiLevelType w:val="hybridMultilevel"/>
    <w:tmpl w:val="8A30E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287C3D"/>
    <w:multiLevelType w:val="hybridMultilevel"/>
    <w:tmpl w:val="6E52CC36"/>
    <w:lvl w:ilvl="0" w:tplc="B73E462A">
      <w:start w:val="1"/>
      <w:numFmt w:val="decimal"/>
      <w:lvlText w:val="%1."/>
      <w:lvlJc w:val="left"/>
      <w:pPr>
        <w:ind w:left="644"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E6B210F"/>
    <w:multiLevelType w:val="hybridMultilevel"/>
    <w:tmpl w:val="8E34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C47CDF"/>
    <w:multiLevelType w:val="hybridMultilevel"/>
    <w:tmpl w:val="4EAEB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F252B9"/>
    <w:multiLevelType w:val="hybridMultilevel"/>
    <w:tmpl w:val="6792A35E"/>
    <w:lvl w:ilvl="0" w:tplc="C352A4A2">
      <w:start w:val="1"/>
      <w:numFmt w:val="decimal"/>
      <w:lvlText w:val="%1."/>
      <w:lvlJc w:val="left"/>
      <w:pPr>
        <w:ind w:left="1070" w:hanging="360"/>
      </w:pPr>
      <w:rPr>
        <w:rFonts w:hint="default"/>
        <w:i w:val="0"/>
        <w:i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4727037"/>
    <w:multiLevelType w:val="hybridMultilevel"/>
    <w:tmpl w:val="6F7A1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8A58DD"/>
    <w:multiLevelType w:val="hybridMultilevel"/>
    <w:tmpl w:val="4DC60A94"/>
    <w:lvl w:ilvl="0" w:tplc="6D8066E2">
      <w:start w:val="1"/>
      <w:numFmt w:val="decimal"/>
      <w:lvlText w:val="%1."/>
      <w:lvlJc w:val="left"/>
      <w:pPr>
        <w:ind w:left="720" w:hanging="360"/>
      </w:pPr>
      <w:rPr>
        <w:rFonts w:asciiTheme="minorHAnsi" w:hAnsiTheme="minorHAnsi" w:cstheme="minorBidi"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DC3100"/>
    <w:multiLevelType w:val="hybridMultilevel"/>
    <w:tmpl w:val="48AEA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4B541D"/>
    <w:multiLevelType w:val="hybridMultilevel"/>
    <w:tmpl w:val="ECD8E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DC0634"/>
    <w:multiLevelType w:val="hybridMultilevel"/>
    <w:tmpl w:val="E834C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1E31D3"/>
    <w:multiLevelType w:val="hybridMultilevel"/>
    <w:tmpl w:val="60FC0A78"/>
    <w:lvl w:ilvl="0" w:tplc="C090EB82">
      <w:start w:val="1"/>
      <w:numFmt w:val="decimal"/>
      <w:lvlText w:val="%1."/>
      <w:lvlJc w:val="left"/>
      <w:pPr>
        <w:tabs>
          <w:tab w:val="num" w:pos="284"/>
        </w:tabs>
        <w:ind w:left="0" w:firstLine="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8D143C9"/>
    <w:multiLevelType w:val="hybridMultilevel"/>
    <w:tmpl w:val="AC10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6"/>
  </w:num>
  <w:num w:numId="5">
    <w:abstractNumId w:val="16"/>
  </w:num>
  <w:num w:numId="6">
    <w:abstractNumId w:val="14"/>
  </w:num>
  <w:num w:numId="7">
    <w:abstractNumId w:val="9"/>
  </w:num>
  <w:num w:numId="8">
    <w:abstractNumId w:val="12"/>
  </w:num>
  <w:num w:numId="9">
    <w:abstractNumId w:val="3"/>
  </w:num>
  <w:num w:numId="10">
    <w:abstractNumId w:val="15"/>
  </w:num>
  <w:num w:numId="11">
    <w:abstractNumId w:val="13"/>
  </w:num>
  <w:num w:numId="12">
    <w:abstractNumId w:val="17"/>
  </w:num>
  <w:num w:numId="13">
    <w:abstractNumId w:val="1"/>
  </w:num>
  <w:num w:numId="14">
    <w:abstractNumId w:val="0"/>
  </w:num>
  <w:num w:numId="15">
    <w:abstractNumId w:val="7"/>
  </w:num>
  <w:num w:numId="16">
    <w:abstractNumId w:val="4"/>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62"/>
    <w:rsid w:val="00002A46"/>
    <w:rsid w:val="00003E5C"/>
    <w:rsid w:val="0001343F"/>
    <w:rsid w:val="00013B12"/>
    <w:rsid w:val="00015BE0"/>
    <w:rsid w:val="00020515"/>
    <w:rsid w:val="000308AC"/>
    <w:rsid w:val="00043B3F"/>
    <w:rsid w:val="00046C65"/>
    <w:rsid w:val="00047C03"/>
    <w:rsid w:val="00056B41"/>
    <w:rsid w:val="00060896"/>
    <w:rsid w:val="000849D7"/>
    <w:rsid w:val="00091853"/>
    <w:rsid w:val="000A00D3"/>
    <w:rsid w:val="000A3DD6"/>
    <w:rsid w:val="000A3E25"/>
    <w:rsid w:val="000B3262"/>
    <w:rsid w:val="000E0149"/>
    <w:rsid w:val="000F636A"/>
    <w:rsid w:val="000F7905"/>
    <w:rsid w:val="000F79E8"/>
    <w:rsid w:val="00102673"/>
    <w:rsid w:val="00110684"/>
    <w:rsid w:val="00114A8E"/>
    <w:rsid w:val="00120D5A"/>
    <w:rsid w:val="00127EF7"/>
    <w:rsid w:val="001335FE"/>
    <w:rsid w:val="00143040"/>
    <w:rsid w:val="00150361"/>
    <w:rsid w:val="00163284"/>
    <w:rsid w:val="001911B3"/>
    <w:rsid w:val="00194566"/>
    <w:rsid w:val="00197F98"/>
    <w:rsid w:val="001B56E2"/>
    <w:rsid w:val="001B7442"/>
    <w:rsid w:val="001B7B63"/>
    <w:rsid w:val="001C1593"/>
    <w:rsid w:val="001C25D9"/>
    <w:rsid w:val="001C5955"/>
    <w:rsid w:val="001D235C"/>
    <w:rsid w:val="001E6066"/>
    <w:rsid w:val="001E70A3"/>
    <w:rsid w:val="00206AEF"/>
    <w:rsid w:val="00211530"/>
    <w:rsid w:val="00220210"/>
    <w:rsid w:val="002225E4"/>
    <w:rsid w:val="00226034"/>
    <w:rsid w:val="002276B1"/>
    <w:rsid w:val="002355F5"/>
    <w:rsid w:val="00252DEB"/>
    <w:rsid w:val="002566BA"/>
    <w:rsid w:val="00265F8D"/>
    <w:rsid w:val="002663FE"/>
    <w:rsid w:val="00270F21"/>
    <w:rsid w:val="002710A5"/>
    <w:rsid w:val="00274508"/>
    <w:rsid w:val="002A2006"/>
    <w:rsid w:val="002C2668"/>
    <w:rsid w:val="002C2D96"/>
    <w:rsid w:val="002E2BF4"/>
    <w:rsid w:val="002E3216"/>
    <w:rsid w:val="002E69BA"/>
    <w:rsid w:val="002F270B"/>
    <w:rsid w:val="002F3EE9"/>
    <w:rsid w:val="003215C0"/>
    <w:rsid w:val="00334295"/>
    <w:rsid w:val="00372D22"/>
    <w:rsid w:val="00372D75"/>
    <w:rsid w:val="00376383"/>
    <w:rsid w:val="0038254F"/>
    <w:rsid w:val="00383C71"/>
    <w:rsid w:val="00385B5C"/>
    <w:rsid w:val="00386ED7"/>
    <w:rsid w:val="003A0662"/>
    <w:rsid w:val="003B00C4"/>
    <w:rsid w:val="003D2F4F"/>
    <w:rsid w:val="003D76C6"/>
    <w:rsid w:val="003E4DB6"/>
    <w:rsid w:val="003E68DB"/>
    <w:rsid w:val="003F0C1A"/>
    <w:rsid w:val="00400CBA"/>
    <w:rsid w:val="00407D74"/>
    <w:rsid w:val="004130BF"/>
    <w:rsid w:val="0041387F"/>
    <w:rsid w:val="00414929"/>
    <w:rsid w:val="00420749"/>
    <w:rsid w:val="0042552E"/>
    <w:rsid w:val="004312A5"/>
    <w:rsid w:val="00445959"/>
    <w:rsid w:val="004518EE"/>
    <w:rsid w:val="00453485"/>
    <w:rsid w:val="00461BA7"/>
    <w:rsid w:val="00492B06"/>
    <w:rsid w:val="00492BF5"/>
    <w:rsid w:val="004957AF"/>
    <w:rsid w:val="00495E20"/>
    <w:rsid w:val="004A2256"/>
    <w:rsid w:val="004A5572"/>
    <w:rsid w:val="004B5D3C"/>
    <w:rsid w:val="004B6BD7"/>
    <w:rsid w:val="004B7EAC"/>
    <w:rsid w:val="004C1992"/>
    <w:rsid w:val="004C19F5"/>
    <w:rsid w:val="004C3EB5"/>
    <w:rsid w:val="004D6799"/>
    <w:rsid w:val="004D74C7"/>
    <w:rsid w:val="004E5926"/>
    <w:rsid w:val="004E7FDE"/>
    <w:rsid w:val="00506880"/>
    <w:rsid w:val="00506F94"/>
    <w:rsid w:val="005160D0"/>
    <w:rsid w:val="005332D9"/>
    <w:rsid w:val="00537FE5"/>
    <w:rsid w:val="005422ED"/>
    <w:rsid w:val="00542E90"/>
    <w:rsid w:val="0054781D"/>
    <w:rsid w:val="00562EC3"/>
    <w:rsid w:val="00565EED"/>
    <w:rsid w:val="00567A30"/>
    <w:rsid w:val="00575AE7"/>
    <w:rsid w:val="005816A4"/>
    <w:rsid w:val="00596C29"/>
    <w:rsid w:val="00596F02"/>
    <w:rsid w:val="0059726C"/>
    <w:rsid w:val="005A4402"/>
    <w:rsid w:val="005B22A7"/>
    <w:rsid w:val="005B2AF3"/>
    <w:rsid w:val="005C76EB"/>
    <w:rsid w:val="005D10EC"/>
    <w:rsid w:val="005D2E71"/>
    <w:rsid w:val="005D4290"/>
    <w:rsid w:val="005D65AB"/>
    <w:rsid w:val="005F5F60"/>
    <w:rsid w:val="006046C7"/>
    <w:rsid w:val="00624D37"/>
    <w:rsid w:val="00625415"/>
    <w:rsid w:val="0063232E"/>
    <w:rsid w:val="00646F8A"/>
    <w:rsid w:val="00647448"/>
    <w:rsid w:val="006501B6"/>
    <w:rsid w:val="006514AB"/>
    <w:rsid w:val="00656BD1"/>
    <w:rsid w:val="00656EBA"/>
    <w:rsid w:val="0066078C"/>
    <w:rsid w:val="0068782C"/>
    <w:rsid w:val="0069034A"/>
    <w:rsid w:val="006909E4"/>
    <w:rsid w:val="0069236E"/>
    <w:rsid w:val="00694AE3"/>
    <w:rsid w:val="006A5E6B"/>
    <w:rsid w:val="006B7D45"/>
    <w:rsid w:val="006E33FD"/>
    <w:rsid w:val="006E399C"/>
    <w:rsid w:val="006F1D27"/>
    <w:rsid w:val="006F20F0"/>
    <w:rsid w:val="007102A4"/>
    <w:rsid w:val="007145CE"/>
    <w:rsid w:val="007235E9"/>
    <w:rsid w:val="00723FA0"/>
    <w:rsid w:val="00724317"/>
    <w:rsid w:val="00742B97"/>
    <w:rsid w:val="00747A2A"/>
    <w:rsid w:val="00747F9A"/>
    <w:rsid w:val="007507A1"/>
    <w:rsid w:val="00753B08"/>
    <w:rsid w:val="00757F1F"/>
    <w:rsid w:val="00763651"/>
    <w:rsid w:val="007722E9"/>
    <w:rsid w:val="00772920"/>
    <w:rsid w:val="007733C2"/>
    <w:rsid w:val="007735DF"/>
    <w:rsid w:val="00773A8E"/>
    <w:rsid w:val="007933D5"/>
    <w:rsid w:val="00794FEC"/>
    <w:rsid w:val="0079559F"/>
    <w:rsid w:val="007A596F"/>
    <w:rsid w:val="007B57D2"/>
    <w:rsid w:val="007D55D5"/>
    <w:rsid w:val="007E196C"/>
    <w:rsid w:val="007E1A5A"/>
    <w:rsid w:val="007F3B57"/>
    <w:rsid w:val="008133F3"/>
    <w:rsid w:val="0084632B"/>
    <w:rsid w:val="0085399A"/>
    <w:rsid w:val="00853DCB"/>
    <w:rsid w:val="00866F37"/>
    <w:rsid w:val="008754EA"/>
    <w:rsid w:val="00877E2B"/>
    <w:rsid w:val="0088082A"/>
    <w:rsid w:val="0089330A"/>
    <w:rsid w:val="0089533B"/>
    <w:rsid w:val="008A39BA"/>
    <w:rsid w:val="008A3D41"/>
    <w:rsid w:val="008B458B"/>
    <w:rsid w:val="008C3B23"/>
    <w:rsid w:val="008C6EA5"/>
    <w:rsid w:val="008E622D"/>
    <w:rsid w:val="008F0A4B"/>
    <w:rsid w:val="008F4D92"/>
    <w:rsid w:val="009014EF"/>
    <w:rsid w:val="00901703"/>
    <w:rsid w:val="0091080B"/>
    <w:rsid w:val="00925957"/>
    <w:rsid w:val="00935BE5"/>
    <w:rsid w:val="00937DE5"/>
    <w:rsid w:val="009474D4"/>
    <w:rsid w:val="00947D99"/>
    <w:rsid w:val="009511CE"/>
    <w:rsid w:val="009529BE"/>
    <w:rsid w:val="0096025F"/>
    <w:rsid w:val="00966B73"/>
    <w:rsid w:val="00974199"/>
    <w:rsid w:val="00977D0F"/>
    <w:rsid w:val="00991615"/>
    <w:rsid w:val="009A7C45"/>
    <w:rsid w:val="009B6686"/>
    <w:rsid w:val="009C2514"/>
    <w:rsid w:val="009C4ECA"/>
    <w:rsid w:val="009C51C1"/>
    <w:rsid w:val="009C5FEA"/>
    <w:rsid w:val="009C76F0"/>
    <w:rsid w:val="009D1A2D"/>
    <w:rsid w:val="009D5558"/>
    <w:rsid w:val="009E19DF"/>
    <w:rsid w:val="009E7FA6"/>
    <w:rsid w:val="009F481C"/>
    <w:rsid w:val="00A05E68"/>
    <w:rsid w:val="00A25C28"/>
    <w:rsid w:val="00A308A3"/>
    <w:rsid w:val="00A34247"/>
    <w:rsid w:val="00A44B30"/>
    <w:rsid w:val="00A54AF7"/>
    <w:rsid w:val="00A65D56"/>
    <w:rsid w:val="00A66330"/>
    <w:rsid w:val="00A70D60"/>
    <w:rsid w:val="00A83316"/>
    <w:rsid w:val="00A850C4"/>
    <w:rsid w:val="00A90DF5"/>
    <w:rsid w:val="00A949A9"/>
    <w:rsid w:val="00AA31F4"/>
    <w:rsid w:val="00AB2FFB"/>
    <w:rsid w:val="00AE0C14"/>
    <w:rsid w:val="00AE36DA"/>
    <w:rsid w:val="00AE4D5D"/>
    <w:rsid w:val="00AF59C7"/>
    <w:rsid w:val="00B06B57"/>
    <w:rsid w:val="00B07B1E"/>
    <w:rsid w:val="00B17874"/>
    <w:rsid w:val="00B24132"/>
    <w:rsid w:val="00B251C3"/>
    <w:rsid w:val="00B31CEB"/>
    <w:rsid w:val="00B32EC3"/>
    <w:rsid w:val="00B356CF"/>
    <w:rsid w:val="00B37274"/>
    <w:rsid w:val="00B53F08"/>
    <w:rsid w:val="00B75877"/>
    <w:rsid w:val="00B83009"/>
    <w:rsid w:val="00B87295"/>
    <w:rsid w:val="00B90E8F"/>
    <w:rsid w:val="00B97FB2"/>
    <w:rsid w:val="00BB3868"/>
    <w:rsid w:val="00BB4399"/>
    <w:rsid w:val="00BB7F7C"/>
    <w:rsid w:val="00BD206E"/>
    <w:rsid w:val="00BD2490"/>
    <w:rsid w:val="00BF1D0A"/>
    <w:rsid w:val="00BF2F09"/>
    <w:rsid w:val="00C01FC3"/>
    <w:rsid w:val="00C03E06"/>
    <w:rsid w:val="00C068A3"/>
    <w:rsid w:val="00C06F6D"/>
    <w:rsid w:val="00C20286"/>
    <w:rsid w:val="00C21411"/>
    <w:rsid w:val="00C23B04"/>
    <w:rsid w:val="00C32405"/>
    <w:rsid w:val="00C34D48"/>
    <w:rsid w:val="00C35A04"/>
    <w:rsid w:val="00C75E1C"/>
    <w:rsid w:val="00C7641A"/>
    <w:rsid w:val="00C81377"/>
    <w:rsid w:val="00C83FBE"/>
    <w:rsid w:val="00C944DD"/>
    <w:rsid w:val="00C96C55"/>
    <w:rsid w:val="00CA3C87"/>
    <w:rsid w:val="00CB2BDD"/>
    <w:rsid w:val="00CC32BA"/>
    <w:rsid w:val="00CD2801"/>
    <w:rsid w:val="00CE6ECC"/>
    <w:rsid w:val="00CF4E7E"/>
    <w:rsid w:val="00D11B27"/>
    <w:rsid w:val="00D146AE"/>
    <w:rsid w:val="00D2010D"/>
    <w:rsid w:val="00D207DA"/>
    <w:rsid w:val="00D21002"/>
    <w:rsid w:val="00D32D7D"/>
    <w:rsid w:val="00D418C1"/>
    <w:rsid w:val="00D41E11"/>
    <w:rsid w:val="00D6190D"/>
    <w:rsid w:val="00D62E75"/>
    <w:rsid w:val="00D66996"/>
    <w:rsid w:val="00D66CB6"/>
    <w:rsid w:val="00D7230E"/>
    <w:rsid w:val="00D95F73"/>
    <w:rsid w:val="00DA20B4"/>
    <w:rsid w:val="00DC0A49"/>
    <w:rsid w:val="00DC6BC0"/>
    <w:rsid w:val="00DD1DEA"/>
    <w:rsid w:val="00DD6B19"/>
    <w:rsid w:val="00DF5995"/>
    <w:rsid w:val="00E11D47"/>
    <w:rsid w:val="00E13F00"/>
    <w:rsid w:val="00E15B1B"/>
    <w:rsid w:val="00E17A0D"/>
    <w:rsid w:val="00E3214B"/>
    <w:rsid w:val="00E3669F"/>
    <w:rsid w:val="00E50FCC"/>
    <w:rsid w:val="00E60A42"/>
    <w:rsid w:val="00E615C5"/>
    <w:rsid w:val="00E67FE6"/>
    <w:rsid w:val="00E8286F"/>
    <w:rsid w:val="00E91DC6"/>
    <w:rsid w:val="00EA04CB"/>
    <w:rsid w:val="00EA61C0"/>
    <w:rsid w:val="00EA6391"/>
    <w:rsid w:val="00EB1F02"/>
    <w:rsid w:val="00EB4378"/>
    <w:rsid w:val="00EB6F6D"/>
    <w:rsid w:val="00ED0015"/>
    <w:rsid w:val="00ED14F5"/>
    <w:rsid w:val="00EE41CF"/>
    <w:rsid w:val="00EF2E47"/>
    <w:rsid w:val="00F0456B"/>
    <w:rsid w:val="00F110F8"/>
    <w:rsid w:val="00F17EE2"/>
    <w:rsid w:val="00F26A73"/>
    <w:rsid w:val="00F27849"/>
    <w:rsid w:val="00F32E96"/>
    <w:rsid w:val="00F35805"/>
    <w:rsid w:val="00F622EA"/>
    <w:rsid w:val="00F7637B"/>
    <w:rsid w:val="00F97E39"/>
    <w:rsid w:val="00FA05D2"/>
    <w:rsid w:val="00FA1C74"/>
    <w:rsid w:val="00FA29ED"/>
    <w:rsid w:val="00FA4D4C"/>
    <w:rsid w:val="00FB2DC9"/>
    <w:rsid w:val="00FB72D7"/>
    <w:rsid w:val="00FD049C"/>
    <w:rsid w:val="00FD22F1"/>
    <w:rsid w:val="00FD7B00"/>
    <w:rsid w:val="00FE0D99"/>
    <w:rsid w:val="00FE17EB"/>
    <w:rsid w:val="00FE718D"/>
    <w:rsid w:val="00FF0E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122B5A"/>
  <w15:docId w15:val="{DC482E22-878A-42E6-A1F2-337486C1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C45"/>
  </w:style>
  <w:style w:type="paragraph" w:styleId="6">
    <w:name w:val="heading 6"/>
    <w:basedOn w:val="a"/>
    <w:next w:val="a"/>
    <w:link w:val="60"/>
    <w:uiPriority w:val="99"/>
    <w:qFormat/>
    <w:rsid w:val="00383C71"/>
    <w:pPr>
      <w:keepNext/>
      <w:keepLines/>
      <w:spacing w:before="200" w:after="0" w:line="240" w:lineRule="auto"/>
      <w:outlineLvl w:val="5"/>
    </w:pPr>
    <w:rPr>
      <w:rFonts w:ascii="Cambria" w:eastAsia="MS Gothic" w:hAnsi="Cambria" w:cs="Times New Roman"/>
      <w:i/>
      <w:iCs/>
      <w:color w:val="243F6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91DC6"/>
    <w:pPr>
      <w:spacing w:after="0" w:line="240" w:lineRule="auto"/>
    </w:pPr>
    <w:rPr>
      <w:sz w:val="20"/>
      <w:szCs w:val="20"/>
    </w:rPr>
  </w:style>
  <w:style w:type="character" w:customStyle="1" w:styleId="a4">
    <w:name w:val="Текст сноски Знак"/>
    <w:basedOn w:val="a0"/>
    <w:link w:val="a3"/>
    <w:uiPriority w:val="99"/>
    <w:rsid w:val="00E91DC6"/>
    <w:rPr>
      <w:sz w:val="20"/>
      <w:szCs w:val="20"/>
    </w:rPr>
  </w:style>
  <w:style w:type="character" w:styleId="a5">
    <w:name w:val="footnote reference"/>
    <w:basedOn w:val="a0"/>
    <w:uiPriority w:val="99"/>
    <w:semiHidden/>
    <w:unhideWhenUsed/>
    <w:rsid w:val="00E91DC6"/>
    <w:rPr>
      <w:vertAlign w:val="superscript"/>
    </w:rPr>
  </w:style>
  <w:style w:type="paragraph" w:customStyle="1" w:styleId="Default">
    <w:name w:val="Default"/>
    <w:rsid w:val="002663F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753B08"/>
    <w:pPr>
      <w:ind w:left="720"/>
      <w:contextualSpacing/>
    </w:pPr>
  </w:style>
  <w:style w:type="character" w:styleId="a7">
    <w:name w:val="Hyperlink"/>
    <w:basedOn w:val="a0"/>
    <w:uiPriority w:val="99"/>
    <w:unhideWhenUsed/>
    <w:rsid w:val="00FD22F1"/>
    <w:rPr>
      <w:color w:val="0000FF" w:themeColor="hyperlink"/>
      <w:u w:val="single"/>
    </w:rPr>
  </w:style>
  <w:style w:type="character" w:customStyle="1" w:styleId="subheader">
    <w:name w:val="sub_header"/>
    <w:basedOn w:val="a0"/>
    <w:rsid w:val="00FD049C"/>
  </w:style>
  <w:style w:type="paragraph" w:styleId="a8">
    <w:name w:val="Normal (Web)"/>
    <w:basedOn w:val="a"/>
    <w:uiPriority w:val="99"/>
    <w:unhideWhenUsed/>
    <w:rsid w:val="008B458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rsid w:val="008B458B"/>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8B458B"/>
    <w:rPr>
      <w:rFonts w:ascii="Times New Roman" w:eastAsia="Times New Roman" w:hAnsi="Times New Roman" w:cs="Times New Roman"/>
      <w:sz w:val="24"/>
      <w:szCs w:val="24"/>
      <w:lang w:eastAsia="ru-RU"/>
    </w:rPr>
  </w:style>
  <w:style w:type="character" w:customStyle="1" w:styleId="s3">
    <w:name w:val="s3"/>
    <w:basedOn w:val="a0"/>
    <w:rsid w:val="00334295"/>
  </w:style>
  <w:style w:type="paragraph" w:styleId="ab">
    <w:name w:val="Balloon Text"/>
    <w:basedOn w:val="a"/>
    <w:link w:val="ac"/>
    <w:uiPriority w:val="99"/>
    <w:semiHidden/>
    <w:unhideWhenUsed/>
    <w:rsid w:val="00BB386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B3868"/>
    <w:rPr>
      <w:rFonts w:ascii="Segoe UI" w:hAnsi="Segoe UI" w:cs="Segoe UI"/>
      <w:sz w:val="18"/>
      <w:szCs w:val="18"/>
    </w:rPr>
  </w:style>
  <w:style w:type="paragraph" w:styleId="ad">
    <w:name w:val="footer"/>
    <w:basedOn w:val="a"/>
    <w:link w:val="ae"/>
    <w:uiPriority w:val="99"/>
    <w:unhideWhenUsed/>
    <w:rsid w:val="001E60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066"/>
  </w:style>
  <w:style w:type="character" w:styleId="af">
    <w:name w:val="page number"/>
    <w:basedOn w:val="a0"/>
    <w:uiPriority w:val="99"/>
    <w:semiHidden/>
    <w:unhideWhenUsed/>
    <w:rsid w:val="001E6066"/>
  </w:style>
  <w:style w:type="character" w:customStyle="1" w:styleId="nowrap">
    <w:name w:val="nowrap"/>
    <w:basedOn w:val="a0"/>
    <w:rsid w:val="004B6BD7"/>
  </w:style>
  <w:style w:type="character" w:customStyle="1" w:styleId="60">
    <w:name w:val="Заголовок 6 Знак"/>
    <w:basedOn w:val="a0"/>
    <w:link w:val="6"/>
    <w:uiPriority w:val="99"/>
    <w:rsid w:val="00383C71"/>
    <w:rPr>
      <w:rFonts w:ascii="Cambria" w:eastAsia="MS Gothic" w:hAnsi="Cambria" w:cs="Times New Roman"/>
      <w:i/>
      <w:iCs/>
      <w:color w:val="243F60"/>
      <w:sz w:val="20"/>
      <w:szCs w:val="20"/>
      <w:lang w:eastAsia="ru-RU"/>
    </w:rPr>
  </w:style>
  <w:style w:type="paragraph" w:styleId="af0">
    <w:name w:val="No Spacing"/>
    <w:link w:val="af1"/>
    <w:uiPriority w:val="99"/>
    <w:qFormat/>
    <w:rsid w:val="006046C7"/>
    <w:pPr>
      <w:spacing w:after="0" w:line="240" w:lineRule="auto"/>
    </w:pPr>
    <w:rPr>
      <w:rFonts w:ascii="Calibri" w:eastAsia="Times New Roman" w:hAnsi="Calibri" w:cs="Times New Roman"/>
      <w:lang w:eastAsia="en-US"/>
    </w:rPr>
  </w:style>
  <w:style w:type="character" w:customStyle="1" w:styleId="af1">
    <w:name w:val="Без интервала Знак"/>
    <w:link w:val="af0"/>
    <w:uiPriority w:val="99"/>
    <w:locked/>
    <w:rsid w:val="006046C7"/>
    <w:rPr>
      <w:rFonts w:ascii="Calibri" w:eastAsia="Times New Roman" w:hAnsi="Calibri" w:cs="Times New Roman"/>
      <w:lang w:eastAsia="en-US"/>
    </w:rPr>
  </w:style>
  <w:style w:type="character" w:customStyle="1" w:styleId="12">
    <w:name w:val="Заголовок №1 (2)_"/>
    <w:link w:val="120"/>
    <w:uiPriority w:val="99"/>
    <w:locked/>
    <w:rsid w:val="006046C7"/>
    <w:rPr>
      <w:rFonts w:ascii="Times New Roman" w:hAnsi="Times New Roman"/>
      <w:b/>
      <w:sz w:val="28"/>
      <w:shd w:val="clear" w:color="auto" w:fill="FFFFFF"/>
    </w:rPr>
  </w:style>
  <w:style w:type="paragraph" w:customStyle="1" w:styleId="120">
    <w:name w:val="Заголовок №1 (2)"/>
    <w:basedOn w:val="a"/>
    <w:link w:val="12"/>
    <w:uiPriority w:val="99"/>
    <w:rsid w:val="006046C7"/>
    <w:pPr>
      <w:widowControl w:val="0"/>
      <w:shd w:val="clear" w:color="auto" w:fill="FFFFFF"/>
      <w:spacing w:after="0" w:line="370" w:lineRule="exact"/>
      <w:ind w:firstLine="440"/>
      <w:jc w:val="both"/>
      <w:outlineLvl w:val="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7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ru/en/org/persons/685752" TargetMode="External"/><Relationship Id="rId18" Type="http://schemas.openxmlformats.org/officeDocument/2006/relationships/hyperlink" Target="https://www.hse.ru/en/org/persons/685752" TargetMode="External"/><Relationship Id="rId26" Type="http://schemas.openxmlformats.org/officeDocument/2006/relationships/hyperlink" Target="https://creativeconomy.ru/lib/7151" TargetMode="External"/><Relationship Id="rId3" Type="http://schemas.openxmlformats.org/officeDocument/2006/relationships/styles" Target="styles.xml"/><Relationship Id="rId21" Type="http://schemas.openxmlformats.org/officeDocument/2006/relationships/hyperlink" Target="https://publications.hse.ru/view/21306268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lications.hse.ru/view/334095806" TargetMode="External"/><Relationship Id="rId17" Type="http://schemas.openxmlformats.org/officeDocument/2006/relationships/hyperlink" Target="https://publications.hse.ru/view/256838832" TargetMode="External"/><Relationship Id="rId25" Type="http://schemas.openxmlformats.org/officeDocument/2006/relationships/hyperlink" Target="https://doi.org/10.32609/0042-8736-2015-9-45-6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se.ru/org/persons/685752" TargetMode="External"/><Relationship Id="rId20" Type="http://schemas.openxmlformats.org/officeDocument/2006/relationships/hyperlink" Target="https://www.hse.ru/en/org/persons/685752" TargetMode="External"/><Relationship Id="rId29" Type="http://schemas.openxmlformats.org/officeDocument/2006/relationships/hyperlink" Target="https://mail2.hse.ru/owa/redir.aspx?C=_wHFAiRpW4BGWiF0N5sr7p5gb5_acBbkgLzkLy8YBv4HcBVxEtrXCA..&amp;URL=https%3a%2f%2fpublications.hse.ru%2fview%2f2568388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ru/en/org/persons/685752" TargetMode="External"/><Relationship Id="rId24" Type="http://schemas.openxmlformats.org/officeDocument/2006/relationships/hyperlink" Target="https://creativeconomy.ru/lib/4155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se.ru/en/org/persons/685752" TargetMode="External"/><Relationship Id="rId23" Type="http://schemas.openxmlformats.org/officeDocument/2006/relationships/hyperlink" Target="https://creativeconomy.ru/lib/6311" TargetMode="External"/><Relationship Id="rId28" Type="http://schemas.openxmlformats.org/officeDocument/2006/relationships/hyperlink" Target="https://mail2.hse.ru/owa/redir.aspx?C=EkhJrVCfUsaVtMpoLC5_NbRZ0ZBAEm3TWI-MvaD8XV4HcBVxEtrXCA..&amp;URL=https%3a%2f%2fpublications.hse.ru%2fview%2f264234458" TargetMode="External"/><Relationship Id="rId10" Type="http://schemas.openxmlformats.org/officeDocument/2006/relationships/hyperlink" Target="https://publications.hse.ru/view/256838832" TargetMode="External"/><Relationship Id="rId19" Type="http://schemas.openxmlformats.org/officeDocument/2006/relationships/hyperlink" Target="https://publications.hse.ru/view/33409580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ru/org/persons/685752" TargetMode="External"/><Relationship Id="rId14" Type="http://schemas.openxmlformats.org/officeDocument/2006/relationships/hyperlink" Target="https://publications.hse.ru/view/334095806" TargetMode="External"/><Relationship Id="rId22" Type="http://schemas.openxmlformats.org/officeDocument/2006/relationships/hyperlink" Target="https://publications.hse.ru/view/213068119" TargetMode="External"/><Relationship Id="rId27" Type="http://schemas.openxmlformats.org/officeDocument/2006/relationships/hyperlink" Target="https://creativeconomy.ru/lib/7420" TargetMode="External"/><Relationship Id="rId30" Type="http://schemas.openxmlformats.org/officeDocument/2006/relationships/hyperlink" Target="https://mail2.hse.ru/owa/redir.aspx?C=1kVdk4W_gQsYphbH7VUYrttLvRWMdz8_GSaDGpacruwHcBVxEtrXCA..&amp;URL=https%3a%2f%2fpublications.hse.ru%2fview%2f334095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C5CBE-F472-4500-B065-5B7AD074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4618</Words>
  <Characters>35288</Characters>
  <Application>Microsoft Office Word</Application>
  <DocSecurity>0</DocSecurity>
  <Lines>588</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кирилл</dc:creator>
  <cp:lastModifiedBy>Симонов Кирилл</cp:lastModifiedBy>
  <cp:revision>3</cp:revision>
  <dcterms:created xsi:type="dcterms:W3CDTF">2020-09-30T08:18:00Z</dcterms:created>
  <dcterms:modified xsi:type="dcterms:W3CDTF">2020-09-30T08:20:00Z</dcterms:modified>
</cp:coreProperties>
</file>