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AD" w:rsidRDefault="00E27C84">
      <w:pPr>
        <w:spacing w:before="46" w:after="0" w:line="240" w:lineRule="auto"/>
        <w:jc w:val="center"/>
        <w:rPr>
          <w:b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548519" cy="538724"/>
            <wp:effectExtent l="0" t="0" r="444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519" cy="538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48AD" w:rsidRDefault="00E048AD">
      <w:pPr>
        <w:spacing w:before="46" w:after="0" w:line="240" w:lineRule="auto"/>
        <w:jc w:val="center"/>
        <w:rPr>
          <w:b/>
          <w:color w:val="000000"/>
        </w:rPr>
      </w:pPr>
    </w:p>
    <w:p w:rsidR="00E048AD" w:rsidRDefault="00E27C84">
      <w:pPr>
        <w:spacing w:before="46" w:after="0" w:line="24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</w:t>
      </w:r>
    </w:p>
    <w:p w:rsidR="00E048AD" w:rsidRDefault="00E27C84">
      <w:pPr>
        <w:spacing w:after="0" w:line="240" w:lineRule="auto"/>
        <w:ind w:left="2603" w:right="2126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«Высшая школа экономики»</w:t>
      </w: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after="58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27C84">
      <w:pPr>
        <w:widowControl/>
        <w:spacing w:after="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Общая характеристика (концепция) образовательной программы </w:t>
      </w:r>
    </w:p>
    <w:p w:rsidR="00E048AD" w:rsidRDefault="00E27C84">
      <w:pPr>
        <w:widowControl/>
        <w:spacing w:after="0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подготовки научных и научно-педагогических кадров в аспирантуре </w:t>
      </w:r>
    </w:p>
    <w:p w:rsidR="00E048AD" w:rsidRDefault="00E27C84" w:rsidP="00E27C84">
      <w:pPr>
        <w:widowControl/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«Математика и механика»</w:t>
      </w:r>
      <w:r>
        <w:rPr>
          <w:b/>
          <w:sz w:val="26"/>
          <w:szCs w:val="26"/>
        </w:rPr>
        <w:br/>
        <w:t xml:space="preserve">по научным специальностям: </w:t>
      </w:r>
      <w:r>
        <w:rPr>
          <w:sz w:val="26"/>
          <w:szCs w:val="26"/>
        </w:rPr>
        <w:t>1.1.1. Вещественный, комплексный и функциональный анализ, 1.1.2 Дифференциальные уравнения и математическая физика, 1.1.3 Геометрия и топология, 1.1.4 Теория вероятностей и математическая статистика, 1.1.5 Математическая логика, алгебра, теория чисел и дискретная математика, 1.1.8 Механика деформируемого твердого тела</w:t>
      </w:r>
    </w:p>
    <w:p w:rsidR="00E048AD" w:rsidRDefault="00E048AD">
      <w:pPr>
        <w:spacing w:before="58" w:after="0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before="58" w:after="0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before="58" w:after="0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before="58" w:after="0" w:line="360" w:lineRule="auto"/>
        <w:jc w:val="center"/>
        <w:rPr>
          <w:b/>
          <w:color w:val="000000"/>
          <w:sz w:val="26"/>
          <w:szCs w:val="26"/>
        </w:rPr>
      </w:pPr>
    </w:p>
    <w:p w:rsidR="00E048AD" w:rsidRDefault="00E048AD">
      <w:pPr>
        <w:spacing w:before="58" w:after="0" w:line="360" w:lineRule="auto"/>
        <w:rPr>
          <w:b/>
          <w:color w:val="000000"/>
          <w:sz w:val="26"/>
          <w:szCs w:val="26"/>
        </w:rPr>
      </w:pPr>
    </w:p>
    <w:p w:rsidR="00E048AD" w:rsidRDefault="00E27C8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Москва, 2022</w:t>
      </w:r>
      <w:r>
        <w:br w:type="page"/>
      </w:r>
      <w:r>
        <w:rPr>
          <w:b/>
          <w:sz w:val="26"/>
          <w:szCs w:val="26"/>
        </w:rPr>
        <w:lastRenderedPageBreak/>
        <w:t>Общая характеристика (концепция) программы</w:t>
      </w:r>
    </w:p>
    <w:p w:rsidR="00E048AD" w:rsidRDefault="00E048AD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f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7"/>
      </w:tblGrid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Требования, на основе которых реализуется программа</w:t>
            </w:r>
          </w:p>
        </w:tc>
        <w:tc>
          <w:tcPr>
            <w:tcW w:w="6237" w:type="dxa"/>
            <w:shd w:val="clear" w:color="auto" w:fill="FFFFFF"/>
          </w:tcPr>
          <w:p w:rsidR="00E048AD" w:rsidRDefault="00E27C84" w:rsidP="00E27C84">
            <w:pPr>
              <w:tabs>
                <w:tab w:val="left" w:pos="0"/>
              </w:tabs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«Требования к программам подготовки научных и научно-педагогических кадров в аспирантуре Национального исследовательского университета «Высшая школа экономики», (утверждены ученым советом НИУ ВШЭ 17.12.2021, протокол  № 14)</w:t>
            </w:r>
          </w:p>
        </w:tc>
      </w:tr>
      <w:tr w:rsidR="00E048AD">
        <w:trPr>
          <w:trHeight w:val="245"/>
        </w:trPr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Реквизиты и дата утверждения программы </w:t>
            </w:r>
          </w:p>
        </w:tc>
        <w:tc>
          <w:tcPr>
            <w:tcW w:w="6237" w:type="dxa"/>
            <w:shd w:val="clear" w:color="auto" w:fill="FFFFFF"/>
          </w:tcPr>
          <w:p w:rsidR="00E048AD" w:rsidRDefault="005D58C1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 ученым советом 28.01.2022, протокол № 1</w:t>
            </w:r>
            <w:bookmarkStart w:id="0" w:name="_GoBack"/>
            <w:bookmarkEnd w:id="0"/>
          </w:p>
        </w:tc>
      </w:tr>
      <w:tr w:rsidR="00E048AD">
        <w:trPr>
          <w:trHeight w:val="669"/>
        </w:trPr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Научные специальности программы </w:t>
            </w:r>
          </w:p>
        </w:tc>
        <w:tc>
          <w:tcPr>
            <w:tcW w:w="6237" w:type="dxa"/>
            <w:shd w:val="clear" w:color="auto" w:fill="FFFFFF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1.1.1. Вещественный, комплексный и функциональный анализ, 1.1.2 Дифференциальные уравнения и математическая физика, 1.1.3 Геометрия и топология, 1.1.4 Теория вероятностей и математическая статистика, 1.1.5 Математическая логика, алгебра, теория чисел и дискретная математика, 1.1.8 Механика деформируемого твердого тела</w:t>
            </w:r>
          </w:p>
        </w:tc>
      </w:tr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 форма обучения</w:t>
            </w:r>
          </w:p>
        </w:tc>
        <w:tc>
          <w:tcPr>
            <w:tcW w:w="6237" w:type="dxa"/>
            <w:shd w:val="clear" w:color="auto" w:fill="FFFFFF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года, очно</w:t>
            </w:r>
          </w:p>
        </w:tc>
      </w:tr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 обучения</w:t>
            </w:r>
          </w:p>
        </w:tc>
        <w:tc>
          <w:tcPr>
            <w:tcW w:w="6237" w:type="dxa"/>
            <w:shd w:val="clear" w:color="auto" w:fill="FFFFFF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Русский, английский</w:t>
            </w:r>
          </w:p>
        </w:tc>
      </w:tr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Сетевая форма реализации</w:t>
            </w:r>
          </w:p>
        </w:tc>
        <w:tc>
          <w:tcPr>
            <w:tcW w:w="6237" w:type="dxa"/>
            <w:shd w:val="clear" w:color="auto" w:fill="FFFFFF"/>
          </w:tcPr>
          <w:p w:rsidR="00E048AD" w:rsidRPr="00E27C84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27C84">
              <w:rPr>
                <w:sz w:val="26"/>
                <w:szCs w:val="26"/>
              </w:rPr>
              <w:t>Нет</w:t>
            </w:r>
          </w:p>
        </w:tc>
      </w:tr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с расширенной образовательной компонентой </w:t>
            </w:r>
          </w:p>
        </w:tc>
        <w:tc>
          <w:tcPr>
            <w:tcW w:w="6237" w:type="dxa"/>
            <w:shd w:val="clear" w:color="auto" w:fill="FFFFFF"/>
          </w:tcPr>
          <w:p w:rsidR="00E048AD" w:rsidRPr="00E27C84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27C84">
              <w:rPr>
                <w:sz w:val="26"/>
                <w:szCs w:val="26"/>
              </w:rPr>
              <w:t>Нет</w:t>
            </w:r>
          </w:p>
        </w:tc>
      </w:tr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 программы аспирантуры (адъюнктуры)</w:t>
            </w:r>
          </w:p>
        </w:tc>
        <w:tc>
          <w:tcPr>
            <w:tcW w:w="6237" w:type="dxa"/>
            <w:shd w:val="clear" w:color="auto" w:fill="FFFFFF"/>
          </w:tcPr>
          <w:p w:rsidR="00E048AD" w:rsidRPr="00E27C84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E27C84">
              <w:rPr>
                <w:sz w:val="26"/>
                <w:szCs w:val="26"/>
              </w:rPr>
              <w:t>Нет</w:t>
            </w:r>
          </w:p>
        </w:tc>
      </w:tr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Профильный диссертационный совет НИУ ВШЭ</w:t>
            </w:r>
          </w:p>
        </w:tc>
        <w:tc>
          <w:tcPr>
            <w:tcW w:w="6237" w:type="dxa"/>
            <w:shd w:val="clear" w:color="auto" w:fill="FFFFFF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Диссертационный совет НИУ ВШЭ по математике</w:t>
            </w:r>
          </w:p>
        </w:tc>
      </w:tr>
      <w:tr w:rsidR="00E048AD">
        <w:tc>
          <w:tcPr>
            <w:tcW w:w="3114" w:type="dxa"/>
            <w:shd w:val="clear" w:color="auto" w:fill="auto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Аспирантская школа</w:t>
            </w:r>
          </w:p>
        </w:tc>
        <w:tc>
          <w:tcPr>
            <w:tcW w:w="6237" w:type="dxa"/>
            <w:shd w:val="clear" w:color="auto" w:fill="FFFFFF"/>
          </w:tcPr>
          <w:p w:rsidR="00E048AD" w:rsidRDefault="00E27C84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Аспирантская школа по математике</w:t>
            </w:r>
          </w:p>
        </w:tc>
      </w:tr>
    </w:tbl>
    <w:p w:rsidR="00E048AD" w:rsidRDefault="00E048AD">
      <w:pPr>
        <w:spacing w:after="0" w:line="240" w:lineRule="auto"/>
        <w:jc w:val="center"/>
        <w:rPr>
          <w:b/>
          <w:sz w:val="26"/>
          <w:szCs w:val="26"/>
        </w:rPr>
      </w:pPr>
    </w:p>
    <w:p w:rsidR="00E048AD" w:rsidRDefault="00E27C84">
      <w:pPr>
        <w:widowControl/>
        <w:spacing w:after="0" w:line="240" w:lineRule="auto"/>
        <w:rPr>
          <w:b/>
          <w:sz w:val="26"/>
          <w:szCs w:val="26"/>
        </w:rPr>
      </w:pPr>
      <w:bookmarkStart w:id="1" w:name="_heading=h.gjdgxs" w:colFirst="0" w:colLast="0"/>
      <w:bookmarkEnd w:id="1"/>
      <w:r>
        <w:br w:type="page"/>
      </w:r>
    </w:p>
    <w:p w:rsidR="00E048AD" w:rsidRDefault="00E27C8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Результаты обучения по программе </w:t>
      </w:r>
    </w:p>
    <w:p w:rsidR="00E048AD" w:rsidRDefault="00E048AD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f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3"/>
        <w:gridCol w:w="7168"/>
      </w:tblGrid>
      <w:tr w:rsidR="00E048AD">
        <w:tc>
          <w:tcPr>
            <w:tcW w:w="2183" w:type="dxa"/>
            <w:shd w:val="clear" w:color="auto" w:fill="auto"/>
          </w:tcPr>
          <w:p w:rsidR="00E048AD" w:rsidRDefault="00E27C8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Компонент</w:t>
            </w:r>
          </w:p>
        </w:tc>
        <w:tc>
          <w:tcPr>
            <w:tcW w:w="7168" w:type="dxa"/>
          </w:tcPr>
          <w:p w:rsidR="00E048AD" w:rsidRDefault="00E27C8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Полученные образовательные результаты</w:t>
            </w:r>
          </w:p>
        </w:tc>
      </w:tr>
      <w:tr w:rsidR="00E048AD">
        <w:tc>
          <w:tcPr>
            <w:tcW w:w="2183" w:type="dxa"/>
            <w:vMerge w:val="restart"/>
            <w:shd w:val="clear" w:color="auto" w:fill="auto"/>
          </w:tcPr>
          <w:p w:rsidR="00E048AD" w:rsidRDefault="00E27C8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Образовательная  компонента</w:t>
            </w:r>
          </w:p>
        </w:tc>
        <w:tc>
          <w:tcPr>
            <w:tcW w:w="7168" w:type="dxa"/>
          </w:tcPr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– 1. Сданный кандидатский экзамен (экзамены) по научной специальности подготавливаемой диссертационной работы.</w:t>
            </w:r>
          </w:p>
        </w:tc>
      </w:tr>
      <w:tr w:rsidR="00E048AD">
        <w:trPr>
          <w:trHeight w:val="365"/>
        </w:trPr>
        <w:tc>
          <w:tcPr>
            <w:tcW w:w="2183" w:type="dxa"/>
            <w:vMerge/>
            <w:shd w:val="clear" w:color="auto" w:fill="auto"/>
          </w:tcPr>
          <w:p w:rsidR="00E048AD" w:rsidRDefault="00E04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</w:tcPr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– 2. Освоенные дисциплин, предусмотренные учебным планом программы. Результаты обучения по дисциплинам устанавливаются программами дисциплин.</w:t>
            </w:r>
          </w:p>
        </w:tc>
      </w:tr>
      <w:tr w:rsidR="00E048AD">
        <w:trPr>
          <w:trHeight w:val="1091"/>
        </w:trPr>
        <w:tc>
          <w:tcPr>
            <w:tcW w:w="2183" w:type="dxa"/>
            <w:vMerge/>
            <w:shd w:val="clear" w:color="auto" w:fill="auto"/>
          </w:tcPr>
          <w:p w:rsidR="00E048AD" w:rsidRDefault="00E04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</w:tcPr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– 4. Доклад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/ участие с докладом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 на научной конференции/семинаре (в том числе на иностранном языке) по результатам проведенного научного исследования.</w:t>
            </w:r>
          </w:p>
        </w:tc>
      </w:tr>
      <w:tr w:rsidR="00E048AD">
        <w:tc>
          <w:tcPr>
            <w:tcW w:w="2183" w:type="dxa"/>
            <w:shd w:val="clear" w:color="auto" w:fill="auto"/>
          </w:tcPr>
          <w:p w:rsidR="00E048AD" w:rsidRDefault="00E27C84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Научная компонента</w:t>
            </w:r>
          </w:p>
        </w:tc>
        <w:tc>
          <w:tcPr>
            <w:tcW w:w="7168" w:type="dxa"/>
          </w:tcPr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– 3.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proposal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», включающий обоснование выбора темы диссертации; обзор литературы по теме диссертации; развернутый план диссертационного исследования.</w:t>
            </w:r>
          </w:p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 – 5. Подготовленные рукописи научных публикаций (в том числе на иностранном языке) для журналов и изданий,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MathSciNet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для изданий, входящих в список журналов высокого уровня, подготовленный в НИУ ВШЭ / для сборников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 – 7. Наличие опубликованных (принятых в печать) статей в журналах и изданиях, входящих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MathSciNet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в список журналов высокого уровня, подготовленный в НИУ ВШЭ / в сборники материалов конференций уровня B, A или A* по CORE в соответствии с требованиями, установленными профильным диссертационным советом НИУ ВШЭ.</w:t>
            </w:r>
          </w:p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– 8. Наличие текста отдельных разделов/глав диссертации (при подготовке диссертации в виде отдельной целостной работы).</w:t>
            </w:r>
          </w:p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– 9. Подготовленное введение и заключение к диссертации в соответствии с требованиями, установленными профильным диссертационным советом НИУ ВШЭ.</w:t>
            </w:r>
          </w:p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– 6. Подготовленное резюме диссертации, в том числе на английском языке.</w:t>
            </w:r>
          </w:p>
          <w:p w:rsidR="00E048AD" w:rsidRDefault="00E27C84">
            <w:pPr>
              <w:widowControl/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 - 10 Успешное обсуждение диссертации на соискание ученой степени кандидата наук с выдачей заключения НИУ ВШЭ как организации, на базе которой выполнялась диссертация</w:t>
            </w:r>
          </w:p>
        </w:tc>
      </w:tr>
    </w:tbl>
    <w:p w:rsidR="00E048AD" w:rsidRDefault="00E048AD">
      <w:pPr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</w:p>
    <w:p w:rsidR="00E048AD" w:rsidRDefault="00E27C84">
      <w:pPr>
        <w:widowControl/>
        <w:spacing w:after="0" w:line="240" w:lineRule="auto"/>
        <w:rPr>
          <w:b/>
        </w:rPr>
      </w:pPr>
      <w:r>
        <w:br w:type="page"/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 w:rsidRPr="00E27C84">
        <w:rPr>
          <w:b/>
          <w:i/>
          <w:sz w:val="26"/>
          <w:szCs w:val="26"/>
        </w:rPr>
        <w:lastRenderedPageBreak/>
        <w:t xml:space="preserve">Актуальность, цели и задачи программы 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Образовательная программа является естественным завершением программ </w:t>
      </w:r>
      <w:proofErr w:type="spellStart"/>
      <w:r w:rsidRPr="00E27C84">
        <w:rPr>
          <w:sz w:val="26"/>
          <w:szCs w:val="26"/>
        </w:rPr>
        <w:t>бакалавриата</w:t>
      </w:r>
      <w:proofErr w:type="spellEnd"/>
      <w:r w:rsidRPr="00E27C84">
        <w:rPr>
          <w:sz w:val="26"/>
          <w:szCs w:val="26"/>
        </w:rPr>
        <w:t xml:space="preserve"> и магистратуры по математике в НИУ ВШЭ. Основой программы являются наиболее сильные выпускники магистерских программ по математике НИУ ВШЭ и других сильнейших вузов России, а также ученые-математики с мировым именем, работающие в НИУ ВШЭ.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Цель программы – обеспечить качественную подготовку высокообразованных, разносторонне развитых и востребованных на мировом рынке специалистов математике и ее приложениям уровня выпускников аспирантур ведущих мировых университетов.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Задачи программы: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     а)</w:t>
      </w:r>
      <w:r w:rsidRPr="00E27C84">
        <w:rPr>
          <w:sz w:val="26"/>
          <w:szCs w:val="26"/>
        </w:rPr>
        <w:tab/>
        <w:t>в части качества образования: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создание условий для успешного прохождения и завершения всех запланированных в программе учебных курсов, научно-педагогической и научно-исследовательской практик, подготовки к сдаче кандидатского экзамена, государственной итоговой аттестации;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постоянное наблюдение за качеством преподаваемых учебных курсов для аспирантов;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 - получение и реагирование на обратную связь со стороны аспирантов по разным аспектам реализации образовательной программы;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стимулирование дополнительного образования аспирантов через систему стажировок, летних школ и краткосрочных курсов на базе ведущих мировых исследовательских университетов.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б)</w:t>
      </w:r>
      <w:r w:rsidRPr="00E27C84">
        <w:rPr>
          <w:sz w:val="26"/>
          <w:szCs w:val="26"/>
        </w:rPr>
        <w:tab/>
        <w:t>в части разностороннего развития: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стимулирование взаимодействия между аспирантами, ведущими исследования по разным направлениям;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стимулирование междисциплинарных исследований и совместной исследовательской работы;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 - организация возможности для активного взаимодействия между аспирантами и сотрудниками аспирантской школы из кампусов, расположенных в Москве, </w:t>
      </w:r>
      <w:r w:rsidRPr="00E27C84">
        <w:rPr>
          <w:sz w:val="26"/>
          <w:szCs w:val="26"/>
        </w:rPr>
        <w:lastRenderedPageBreak/>
        <w:t>Нижнем Новгороде и Санкт-Петербурге;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- способствование работе научно-исследовательских семинаров по математике, без которых невозможны развитие и научная работа аспирантов.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в)</w:t>
      </w:r>
      <w:r w:rsidRPr="00E27C84">
        <w:rPr>
          <w:sz w:val="26"/>
          <w:szCs w:val="26"/>
        </w:rPr>
        <w:tab/>
        <w:t xml:space="preserve">в части востребованности на мировом рынке и соответствия уровню степени </w:t>
      </w:r>
      <w:proofErr w:type="spellStart"/>
      <w:r w:rsidRPr="00E27C84">
        <w:rPr>
          <w:sz w:val="26"/>
          <w:szCs w:val="26"/>
        </w:rPr>
        <w:t>PhD</w:t>
      </w:r>
      <w:proofErr w:type="spellEnd"/>
      <w:r w:rsidRPr="00E27C84">
        <w:rPr>
          <w:sz w:val="26"/>
          <w:szCs w:val="26"/>
        </w:rPr>
        <w:t xml:space="preserve"> ведущих мировых университетов: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привлечение к научному руководству аспирантами ведущих мировых исследователей из числа сотрудников НИУ ВШЭ;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содействие академической мобильности аспирантов как внутри Российской Федерации, так и за рубежом для научного общения и </w:t>
      </w:r>
      <w:proofErr w:type="gramStart"/>
      <w:r w:rsidRPr="00E27C84">
        <w:rPr>
          <w:sz w:val="26"/>
          <w:szCs w:val="26"/>
        </w:rPr>
        <w:t>проведения совместных исследований с сотрудниками ведущих мировых университетов</w:t>
      </w:r>
      <w:proofErr w:type="gramEnd"/>
      <w:r w:rsidRPr="00E27C84">
        <w:rPr>
          <w:sz w:val="26"/>
          <w:szCs w:val="26"/>
        </w:rPr>
        <w:t xml:space="preserve"> и научных институтов; 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содействие подготовке аспирантами научных статей и их публикации в ведущих мировых академических изданиях по профилю аспирантской школы;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       - развитие международной сети институциональных связей аспирантской школы; проведение работы в направлении открытия совместной аспирантуры с ведущими российскими и зарубежными исследовательскими университетами.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 w:rsidRPr="00E27C84">
        <w:rPr>
          <w:b/>
          <w:i/>
          <w:sz w:val="26"/>
          <w:szCs w:val="26"/>
        </w:rPr>
        <w:t xml:space="preserve">Целевая аудитория программы, критерии отбора на программу 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Порядок приема в аспирантуру и условия конкурсного отбора определяются Правилами приема в аспирантуру, ежегодно устанавливаемыми НИУ ВШЭ. Для успешного выполнения поставленных задач и достижения цели программы на программу будут набираться аспиранты, получившие высшее профессиональное образование, подтвержденное дипломом специалиста или дипломом магистра, наиболее успешно сдавшие вступительные экзамены по математике и иностранному языку и продемонстрировавшие свои способности к исследовательской работе.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План набора – 20-35 аспирантов ежегодно (до 25 аспирантов в Москве и до 10 в Нижнем Новгороде и Санкт-Петербурге). Планируется также увеличение набора за счет привлечения иностранных аспирантов.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color w:val="92D050"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 w:rsidRPr="00E27C84">
        <w:rPr>
          <w:b/>
          <w:i/>
          <w:sz w:val="26"/>
          <w:szCs w:val="26"/>
        </w:rPr>
        <w:t>Исследовательские приоритеты и профили программы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lastRenderedPageBreak/>
        <w:t>Приоритетом программы является подготовка специалистов, которые могут решать сложные задачи, возникающие в самых разных областях математики и ее приложений. Профили программы включают в себя анализ, дифференциальные уравнения, математическую физику, геометрию и топологию, теорию вероятностей, алгебру, логику и теорию чисел, а также механику деформируемого твердого тела.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 w:rsidRPr="00E27C84">
        <w:rPr>
          <w:b/>
          <w:i/>
          <w:sz w:val="26"/>
          <w:szCs w:val="26"/>
        </w:rPr>
        <w:t>Особенности научной компоненты программы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Программа предоставляет аспирантам широкий выбор научных руководителей, а также семинаров, на которых происходит обсуждение потенциальных задач и связанных вопросов. Это способствует работе над диссертацией и получению ярких и интересных результатов как во время обучения в аспирантуре, так и в дальнейшем.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 w:rsidRPr="00E27C84">
        <w:rPr>
          <w:b/>
          <w:i/>
          <w:sz w:val="26"/>
          <w:szCs w:val="26"/>
        </w:rPr>
        <w:t>Особенности образовательной компоненты программы</w:t>
      </w: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Образовательная компонента программы предназначена для изучения аспирантами материала, имеющего непосредственное отношение к диссертации, а также для расширения математического кругозора, который необходим как в чистой математике, так и в приложениях.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 w:rsidRPr="00E27C84">
        <w:rPr>
          <w:b/>
          <w:i/>
          <w:sz w:val="26"/>
          <w:szCs w:val="26"/>
        </w:rPr>
        <w:t>Характеристика кадрового потенциала программы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В НИУ ВШЭ математика представлена на Факультете математики, включая ассоциированные лаборатории (Алгебраической </w:t>
      </w:r>
      <w:proofErr w:type="gramStart"/>
      <w:r w:rsidRPr="00E27C84">
        <w:rPr>
          <w:sz w:val="26"/>
          <w:szCs w:val="26"/>
        </w:rPr>
        <w:t>геометрии;  Зеркальной</w:t>
      </w:r>
      <w:proofErr w:type="gramEnd"/>
      <w:r w:rsidRPr="00E27C84">
        <w:rPr>
          <w:sz w:val="26"/>
          <w:szCs w:val="26"/>
        </w:rPr>
        <w:t xml:space="preserve"> симметрии и автоморфных форм), в других международных лабораториях, а именно Теории представлений и математической физики (ВШЭ – </w:t>
      </w:r>
      <w:proofErr w:type="spellStart"/>
      <w:r w:rsidRPr="00E27C84">
        <w:rPr>
          <w:sz w:val="26"/>
          <w:szCs w:val="26"/>
        </w:rPr>
        <w:t>Сколтех</w:t>
      </w:r>
      <w:proofErr w:type="spellEnd"/>
      <w:r w:rsidRPr="00E27C84">
        <w:rPr>
          <w:sz w:val="26"/>
          <w:szCs w:val="26"/>
        </w:rPr>
        <w:t xml:space="preserve">), Стохастических алгоритмов и анализа многомерных данных, Стохастического анализа и его приложений, а также на Общеуниверситетской кафедре высшей математики, в Московском институте электроники и математики им. </w:t>
      </w:r>
      <w:proofErr w:type="spellStart"/>
      <w:r w:rsidRPr="00E27C84">
        <w:rPr>
          <w:sz w:val="26"/>
          <w:szCs w:val="26"/>
        </w:rPr>
        <w:t>А.Н.Тихонова</w:t>
      </w:r>
      <w:proofErr w:type="spellEnd"/>
      <w:r w:rsidRPr="00E27C84">
        <w:rPr>
          <w:sz w:val="26"/>
          <w:szCs w:val="26"/>
        </w:rPr>
        <w:t>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 xml:space="preserve">Преподавание на факультете математики НИУ ВШЭ ведут активные математики-исследователи, многие из которых являются специалистами мирового уровня в своих профессиональных областях. В преподавании и организации научных </w:t>
      </w:r>
      <w:r w:rsidRPr="00E27C84">
        <w:rPr>
          <w:sz w:val="26"/>
          <w:szCs w:val="26"/>
        </w:rPr>
        <w:lastRenderedPageBreak/>
        <w:t xml:space="preserve">семинаров участвуют сотрудники ассоциированных с факультетом международных научных лабораторий, институтов РАН, имеющих на факультете базовые кафедры: Математического института им. Стеклова, Института проблем и передачи информации им. </w:t>
      </w:r>
      <w:proofErr w:type="spellStart"/>
      <w:r w:rsidRPr="00E27C84">
        <w:rPr>
          <w:sz w:val="26"/>
          <w:szCs w:val="26"/>
        </w:rPr>
        <w:t>Харкевича</w:t>
      </w:r>
      <w:proofErr w:type="spellEnd"/>
      <w:r w:rsidRPr="00E27C84">
        <w:rPr>
          <w:sz w:val="26"/>
          <w:szCs w:val="26"/>
        </w:rPr>
        <w:t xml:space="preserve">, Физического института им. Лебедева, а также других ведущих научных институтов Москвы. Среди преподавателей факультета имеются учёные из Великобритании, Канады, США и Японии, более половины сотрудников — доктора наук, многие имеют степени западных университетов. Кроме того, среди сотрудников факультета, включая ассоциированные с факультетом лаборатории, есть два действительных члена Российской Академии Наук, один лауреат премии </w:t>
      </w:r>
      <w:proofErr w:type="spellStart"/>
      <w:r w:rsidRPr="00E27C84">
        <w:rPr>
          <w:sz w:val="26"/>
          <w:szCs w:val="26"/>
        </w:rPr>
        <w:t>Филдса</w:t>
      </w:r>
      <w:proofErr w:type="spellEnd"/>
      <w:r w:rsidRPr="00E27C84">
        <w:rPr>
          <w:sz w:val="26"/>
          <w:szCs w:val="26"/>
        </w:rPr>
        <w:t xml:space="preserve"> и 17 приглашённых докладчиков Международных математических конгрессов. Все это обеспечивает творческий, нестандартный подход к преподаванию, постоянную модернизацию методов обучения и внедрение в учебные программы самых последних физико-математических достижений, а также даёт возможность мотивированным аспирантам с самого начала обучения принимать участие в реальной научной работе.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  <w:r w:rsidRPr="00E27C84">
        <w:rPr>
          <w:b/>
          <w:i/>
          <w:sz w:val="26"/>
          <w:szCs w:val="26"/>
        </w:rPr>
        <w:t>Адаптация программы для обучения лиц с ограниченными возможностями здоровья и инвалидов</w:t>
      </w:r>
    </w:p>
    <w:p w:rsidR="00E048AD" w:rsidRPr="00E27C84" w:rsidRDefault="00E048AD" w:rsidP="00E27C84">
      <w:pPr>
        <w:spacing w:after="0" w:line="360" w:lineRule="auto"/>
        <w:ind w:firstLine="567"/>
        <w:jc w:val="both"/>
        <w:rPr>
          <w:b/>
          <w:i/>
          <w:sz w:val="26"/>
          <w:szCs w:val="26"/>
        </w:rPr>
      </w:pPr>
    </w:p>
    <w:p w:rsidR="00E048AD" w:rsidRPr="00E27C84" w:rsidRDefault="00E27C84" w:rsidP="00E27C84">
      <w:pPr>
        <w:spacing w:after="0" w:line="360" w:lineRule="auto"/>
        <w:ind w:firstLine="567"/>
        <w:jc w:val="both"/>
        <w:rPr>
          <w:sz w:val="26"/>
          <w:szCs w:val="26"/>
        </w:rPr>
      </w:pPr>
      <w:r w:rsidRPr="00E27C84">
        <w:rPr>
          <w:sz w:val="26"/>
          <w:szCs w:val="26"/>
        </w:rPr>
        <w:t>Образовательная программа адаптирована для обучения на ней инвалидов и лиц с ограниченными возможностями здоровья. В учебном процессе используются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здоровья. Особенности адаптации программ учебных дисциплин содержатся в полной версии каждой программы учебной дисциплины.</w:t>
      </w:r>
    </w:p>
    <w:sectPr w:rsidR="00E048AD" w:rsidRPr="00E27C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29C0"/>
    <w:multiLevelType w:val="multilevel"/>
    <w:tmpl w:val="AA84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AD"/>
    <w:rsid w:val="00005034"/>
    <w:rsid w:val="005D58C1"/>
    <w:rsid w:val="00E048AD"/>
    <w:rsid w:val="00E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E6C86-F55E-46B9-BAD6-EE45B8C1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5B"/>
    <w:pPr>
      <w:suppressAutoHyphens/>
    </w:pPr>
    <w:rPr>
      <w:rFonts w:eastAsia="SimSun"/>
      <w:kern w:val="2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F7E6D"/>
    <w:pPr>
      <w:keepNext/>
      <w:widowControl/>
      <w:numPr>
        <w:ilvl w:val="1"/>
        <w:numId w:val="1"/>
      </w:numPr>
      <w:suppressAutoHyphens w:val="0"/>
      <w:spacing w:before="120" w:after="60" w:line="240" w:lineRule="auto"/>
      <w:outlineLvl w:val="1"/>
    </w:pPr>
    <w:rPr>
      <w:rFonts w:eastAsia="Times New Roman"/>
      <w:b/>
      <w:bCs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7E6D"/>
    <w:pPr>
      <w:keepNext/>
      <w:widowControl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7E6D"/>
    <w:pPr>
      <w:keepNext/>
      <w:widowControl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E6D"/>
    <w:pPr>
      <w:widowControl/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F7E6D"/>
    <w:pPr>
      <w:widowControl/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F7E6D"/>
    <w:pPr>
      <w:widowControl/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EF7E6D"/>
    <w:pPr>
      <w:widowControl/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EF7E6D"/>
    <w:pPr>
      <w:widowControl/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link w:val="2"/>
    <w:uiPriority w:val="99"/>
    <w:locked/>
    <w:rsid w:val="00EF7E6D"/>
    <w:rPr>
      <w:rFonts w:eastAsia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25FB8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25FB8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25FB8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25FB8"/>
    <w:rPr>
      <w:rFonts w:ascii="Calibri" w:hAnsi="Calibri" w:cs="Calibri"/>
      <w:b/>
      <w:bCs/>
      <w:kern w:val="2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25FB8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25FB8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25FB8"/>
    <w:rPr>
      <w:rFonts w:ascii="Cambria" w:hAnsi="Cambria" w:cs="Cambria"/>
      <w:kern w:val="2"/>
      <w:lang w:eastAsia="zh-CN"/>
    </w:rPr>
  </w:style>
  <w:style w:type="paragraph" w:styleId="a4">
    <w:name w:val="Normal (Web)"/>
    <w:basedOn w:val="a"/>
    <w:uiPriority w:val="99"/>
    <w:rsid w:val="00A159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5">
    <w:name w:val="Body Text"/>
    <w:basedOn w:val="a"/>
    <w:link w:val="a6"/>
    <w:uiPriority w:val="99"/>
    <w:rsid w:val="00A1595B"/>
    <w:pPr>
      <w:suppressAutoHyphens w:val="0"/>
      <w:spacing w:before="4" w:after="0" w:line="240" w:lineRule="auto"/>
      <w:ind w:left="102"/>
    </w:pPr>
  </w:style>
  <w:style w:type="character" w:customStyle="1" w:styleId="a6">
    <w:name w:val="Основной текст Знак"/>
    <w:link w:val="a5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character" w:customStyle="1" w:styleId="a7">
    <w:name w:val="Текст Знак"/>
    <w:link w:val="a8"/>
    <w:uiPriority w:val="99"/>
    <w:semiHidden/>
    <w:locked/>
    <w:rsid w:val="00A1595B"/>
    <w:rPr>
      <w:rFonts w:ascii="Consolas" w:hAnsi="Consolas" w:cs="Consolas"/>
      <w:sz w:val="21"/>
      <w:szCs w:val="21"/>
      <w:lang w:val="ru-RU" w:eastAsia="en-US"/>
    </w:rPr>
  </w:style>
  <w:style w:type="paragraph" w:styleId="a8">
    <w:name w:val="Plain Text"/>
    <w:basedOn w:val="a"/>
    <w:link w:val="a7"/>
    <w:uiPriority w:val="99"/>
    <w:semiHidden/>
    <w:rsid w:val="00A1595B"/>
    <w:pPr>
      <w:widowControl/>
      <w:suppressAutoHyphens w:val="0"/>
      <w:spacing w:after="0" w:line="240" w:lineRule="auto"/>
    </w:pPr>
    <w:rPr>
      <w:rFonts w:ascii="Consolas" w:eastAsia="Times New Roman" w:hAnsi="Consolas"/>
      <w:kern w:val="0"/>
      <w:sz w:val="21"/>
      <w:szCs w:val="21"/>
      <w:lang w:eastAsia="en-US"/>
    </w:rPr>
  </w:style>
  <w:style w:type="character" w:customStyle="1" w:styleId="PlainTextChar1">
    <w:name w:val="Plain Text Char1"/>
    <w:uiPriority w:val="99"/>
    <w:semiHidden/>
    <w:locked/>
    <w:rsid w:val="00525FB8"/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10">
    <w:name w:val="Абзац списка1"/>
    <w:basedOn w:val="a"/>
    <w:uiPriority w:val="99"/>
    <w:rsid w:val="00A1595B"/>
    <w:pPr>
      <w:spacing w:after="200"/>
      <w:ind w:left="720"/>
    </w:pPr>
  </w:style>
  <w:style w:type="paragraph" w:customStyle="1" w:styleId="ListParagraph1">
    <w:name w:val="List Paragraph1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paragraph" w:customStyle="1" w:styleId="Heading11">
    <w:name w:val="Heading 11"/>
    <w:basedOn w:val="a"/>
    <w:uiPriority w:val="99"/>
    <w:rsid w:val="00A1595B"/>
    <w:pPr>
      <w:suppressAutoHyphens w:val="0"/>
      <w:spacing w:after="0" w:line="240" w:lineRule="auto"/>
      <w:ind w:left="4141" w:hanging="3005"/>
      <w:outlineLvl w:val="1"/>
    </w:pPr>
    <w:rPr>
      <w:rFonts w:eastAsia="Times New Roman"/>
      <w:kern w:val="0"/>
      <w:sz w:val="28"/>
      <w:szCs w:val="28"/>
      <w:lang w:val="en-US" w:eastAsia="en-US"/>
    </w:rPr>
  </w:style>
  <w:style w:type="paragraph" w:customStyle="1" w:styleId="Heading21">
    <w:name w:val="Heading 21"/>
    <w:basedOn w:val="a"/>
    <w:uiPriority w:val="99"/>
    <w:rsid w:val="00A1595B"/>
    <w:pPr>
      <w:suppressAutoHyphens w:val="0"/>
      <w:spacing w:after="0" w:line="240" w:lineRule="auto"/>
      <w:ind w:left="102"/>
      <w:outlineLvl w:val="2"/>
    </w:pPr>
    <w:rPr>
      <w:rFonts w:eastAsia="Times New Roman"/>
      <w:b/>
      <w:bCs/>
      <w:kern w:val="0"/>
      <w:lang w:val="en-US" w:eastAsia="en-US"/>
    </w:rPr>
  </w:style>
  <w:style w:type="paragraph" w:customStyle="1" w:styleId="TableParagraph">
    <w:name w:val="Table Paragraph"/>
    <w:basedOn w:val="a"/>
    <w:uiPriority w:val="99"/>
    <w:rsid w:val="00A1595B"/>
    <w:pPr>
      <w:suppressAutoHyphens w:val="0"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val="en-US" w:eastAsia="en-US"/>
    </w:rPr>
  </w:style>
  <w:style w:type="character" w:styleId="a9">
    <w:name w:val="Hyperlink"/>
    <w:uiPriority w:val="99"/>
    <w:rsid w:val="001F1F39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BC09C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uiPriority w:val="99"/>
    <w:rsid w:val="00BC09CA"/>
  </w:style>
  <w:style w:type="paragraph" w:customStyle="1" w:styleId="msonormalcxspmiddle">
    <w:name w:val="msonormalcxspmiddle"/>
    <w:basedOn w:val="a"/>
    <w:uiPriority w:val="99"/>
    <w:rsid w:val="002B6583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uiPriority w:val="99"/>
    <w:rsid w:val="00C0017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525FB8"/>
    <w:rPr>
      <w:rFonts w:eastAsia="SimSun"/>
      <w:kern w:val="2"/>
      <w:sz w:val="24"/>
      <w:szCs w:val="24"/>
      <w:lang w:eastAsia="zh-CN"/>
    </w:rPr>
  </w:style>
  <w:style w:type="paragraph" w:customStyle="1" w:styleId="FirstPage">
    <w:name w:val="FirstPage"/>
    <w:uiPriority w:val="99"/>
    <w:rsid w:val="00C00179"/>
    <w:pPr>
      <w:spacing w:line="264" w:lineRule="auto"/>
      <w:jc w:val="center"/>
    </w:pPr>
    <w:rPr>
      <w:sz w:val="28"/>
      <w:szCs w:val="28"/>
      <w:lang w:eastAsia="en-US"/>
    </w:rPr>
  </w:style>
  <w:style w:type="paragraph" w:customStyle="1" w:styleId="aa">
    <w:name w:val="Маркированный."/>
    <w:basedOn w:val="a"/>
    <w:uiPriority w:val="99"/>
    <w:rsid w:val="00C00179"/>
    <w:pPr>
      <w:widowControl/>
      <w:tabs>
        <w:tab w:val="num" w:pos="360"/>
      </w:tabs>
      <w:spacing w:after="0" w:line="240" w:lineRule="auto"/>
      <w:ind w:firstLine="709"/>
    </w:pPr>
    <w:rPr>
      <w:rFonts w:eastAsia="Times New Roman"/>
      <w:kern w:val="0"/>
    </w:rPr>
  </w:style>
  <w:style w:type="character" w:customStyle="1" w:styleId="apple-style-span">
    <w:name w:val="apple-style-span"/>
    <w:uiPriority w:val="99"/>
    <w:rsid w:val="00C00179"/>
    <w:rPr>
      <w:rFonts w:ascii="Times New Roman" w:hAnsi="Times New Roman" w:cs="Times New Roman"/>
    </w:rPr>
  </w:style>
  <w:style w:type="paragraph" w:styleId="ab">
    <w:name w:val="List Paragraph"/>
    <w:basedOn w:val="a"/>
    <w:uiPriority w:val="99"/>
    <w:qFormat/>
    <w:rsid w:val="00320011"/>
    <w:pPr>
      <w:ind w:left="720"/>
    </w:pPr>
  </w:style>
  <w:style w:type="character" w:styleId="ac">
    <w:name w:val="FollowedHyperlink"/>
    <w:uiPriority w:val="99"/>
    <w:semiHidden/>
    <w:rsid w:val="004073B1"/>
    <w:rPr>
      <w:color w:val="800080"/>
      <w:u w:val="single"/>
    </w:rPr>
  </w:style>
  <w:style w:type="table" w:styleId="ad">
    <w:name w:val="Table Grid"/>
    <w:basedOn w:val="a1"/>
    <w:rsid w:val="008F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417A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3RTXcIEvyPCgyT0weHPe4FtBZw==">AMUW2mX/xbbh2sdiOeCsiyljN10nQ7/tvJW3Nv8K2VV6twEFIR21fEYL2VCbpCgNaQLCXMqilXUn2mcwxNLg8oMCECYLRsE1CNV6xtBo9PZQbL8USuyBBlTm2eHZ/s/2eq5zDMfiUF9N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Завгородняя Ольга Ивановна</cp:lastModifiedBy>
  <cp:revision>4</cp:revision>
  <dcterms:created xsi:type="dcterms:W3CDTF">2022-01-21T12:41:00Z</dcterms:created>
  <dcterms:modified xsi:type="dcterms:W3CDTF">2022-02-18T13:04:00Z</dcterms:modified>
</cp:coreProperties>
</file>