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761AF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«Социологические науки»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761AF2">
        <w:rPr>
          <w:rFonts w:ascii="Times New Roman" w:hAnsi="Times New Roman"/>
          <w:color w:val="auto"/>
          <w:sz w:val="28"/>
          <w:szCs w:val="28"/>
        </w:rPr>
        <w:t>39.06.01 Социологические науки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>Теория, методология и история социологии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>Экономическая социология и демография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, </w:t>
      </w:r>
    </w:p>
    <w:p w:rsidR="00B35F2E" w:rsidRPr="00761AF2" w:rsidRDefault="00761AF2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761AF2">
        <w:rPr>
          <w:rFonts w:ascii="Times New Roman" w:hAnsi="Times New Roman"/>
          <w:color w:val="auto"/>
          <w:sz w:val="28"/>
          <w:szCs w:val="28"/>
        </w:rPr>
        <w:t xml:space="preserve">Социальная структура, </w:t>
      </w:r>
      <w:r>
        <w:rPr>
          <w:rFonts w:ascii="Times New Roman" w:hAnsi="Times New Roman"/>
          <w:color w:val="auto"/>
          <w:sz w:val="28"/>
          <w:szCs w:val="28"/>
        </w:rPr>
        <w:t>социальные институты и процессы»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761AF2" w:rsidRDefault="00761AF2" w:rsidP="00761AF2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39.06.01 Социологические науки, направленность подготовки «Теория, методология и история социологии», «Экономическая социология и демография», «Социальная структура, социальные институты и процессы»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815C9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815C9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Протокол № 9 от 29.09.2017 решения ученого совета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761AF2" w:rsidRPr="00761AF2" w:rsidRDefault="00761AF2" w:rsidP="00761AF2">
            <w:pPr>
              <w:widowControl w:val="0"/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39.06.01 «Социологические науки»</w:t>
            </w:r>
          </w:p>
          <w:p w:rsidR="006379E9" w:rsidRPr="006379E9" w:rsidRDefault="00761AF2" w:rsidP="00761A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761AF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761A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  <w:r w:rsidR="00761AF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и английский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является логическим завершением выстроенной вертикали высшего социологического образования в НИУ ВШЭ – Москва и НИУ ВШЭ – Санкт-Петербург. Программа базируется на наборе академически сильных студентов магистерских программ департамента социологии НИУ ВШЭ и на высокой квалификации профессорско-преподавательского состава департамента и исследовательских институтов и лабораторий, проводящих социологические и демографические исследования. 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стратегическую цель НИУ ВШЭ прочно войти в число сильнейших исследовательских университетов мира, коллектив аспирантской школы по социологии в НИУ ВШЭ – Москва и НИУ ВШЭ – Санкт-Петербург вносит ощутимый вклад в решение стоящей перед всеми кампусами задачи привлечения академического кадров с мирового рынка – как за счет подготовки собственных специалистов мирового уровня, так и за счет повышения привлекательности университета для потенциальных преподавателей-исследователей, заинтересованных в руководстве аспирантами и совместной исследовательской работе.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</w:t>
      </w:r>
      <w:r>
        <w:rPr>
          <w:sz w:val="26"/>
          <w:szCs w:val="26"/>
        </w:rPr>
        <w:t xml:space="preserve"> программы – обеспечить качественную подготовку высокообразованных, разносторонне развитых и востребованных на мировом рынке специалистов уровня степени </w:t>
      </w:r>
      <w:proofErr w:type="spellStart"/>
      <w:r>
        <w:rPr>
          <w:sz w:val="26"/>
          <w:szCs w:val="26"/>
          <w:lang w:val="de-DE"/>
        </w:rPr>
        <w:t>PhD</w:t>
      </w:r>
      <w:proofErr w:type="spellEnd"/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по направлению «Социологические науки», и в частности по профилям «</w:t>
      </w:r>
      <w:r>
        <w:rPr>
          <w:bCs/>
          <w:sz w:val="26"/>
          <w:szCs w:val="26"/>
        </w:rPr>
        <w:t>Теория, методология и история социологии», «Экономическая социология и демография», «Социальная структура, социальные институты и процессы»</w:t>
      </w:r>
      <w:r>
        <w:rPr>
          <w:sz w:val="26"/>
          <w:szCs w:val="26"/>
        </w:rPr>
        <w:t xml:space="preserve">. </w:t>
      </w:r>
    </w:p>
    <w:p w:rsidR="00761AF2" w:rsidRDefault="00761AF2" w:rsidP="00761AF2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достижения поставленной цели предполагается решение следующих взаимосвязанных </w:t>
      </w:r>
      <w:r>
        <w:rPr>
          <w:b/>
          <w:sz w:val="26"/>
          <w:szCs w:val="26"/>
        </w:rPr>
        <w:t>задач</w:t>
      </w:r>
      <w:r>
        <w:rPr>
          <w:sz w:val="26"/>
          <w:szCs w:val="26"/>
        </w:rPr>
        <w:t>:</w:t>
      </w:r>
    </w:p>
    <w:p w:rsidR="00761AF2" w:rsidRDefault="00761AF2" w:rsidP="00761AF2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а)</w:t>
      </w:r>
      <w:r>
        <w:rPr>
          <w:sz w:val="26"/>
          <w:szCs w:val="26"/>
        </w:rPr>
        <w:tab/>
        <w:t xml:space="preserve">в части </w:t>
      </w:r>
      <w:r>
        <w:rPr>
          <w:i/>
          <w:sz w:val="26"/>
          <w:szCs w:val="26"/>
        </w:rPr>
        <w:t>качества образования: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постоянного мониторинга качества преподаваемых учебных курсов для аспирантов;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получение и реагирование на обратную связь со стороны аспирантов по разным аспектам реализации образовательной программы;</w:t>
      </w:r>
    </w:p>
    <w:p w:rsidR="00761AF2" w:rsidRDefault="00761AF2" w:rsidP="00761AF2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дополнительному образованию аспирантов через систему летних школ и краткосрочных курсов на базе ведущих мировых исследовательских университетов.</w:t>
      </w:r>
    </w:p>
    <w:p w:rsidR="00B35F2E" w:rsidRP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B35F2E" w:rsidRPr="00F04989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F04989">
        <w:rPr>
          <w:sz w:val="26"/>
          <w:szCs w:val="26"/>
        </w:rPr>
        <w:t xml:space="preserve">в части </w:t>
      </w:r>
      <w:r w:rsidRPr="00F04989">
        <w:rPr>
          <w:i/>
          <w:sz w:val="26"/>
          <w:szCs w:val="26"/>
        </w:rPr>
        <w:t>педагогической деятельности</w:t>
      </w:r>
      <w:r w:rsidR="00B35F2E" w:rsidRPr="00F04989">
        <w:rPr>
          <w:sz w:val="26"/>
          <w:szCs w:val="26"/>
        </w:rPr>
        <w:t>: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преподавание </w:t>
      </w:r>
      <w:r w:rsidR="00F04989" w:rsidRPr="00F04989">
        <w:rPr>
          <w:sz w:val="26"/>
          <w:szCs w:val="26"/>
        </w:rPr>
        <w:t>социологических</w:t>
      </w:r>
      <w:r w:rsidRPr="00F04989">
        <w:rPr>
          <w:sz w:val="26"/>
          <w:szCs w:val="26"/>
        </w:rPr>
        <w:t xml:space="preserve"> теоретических и практических курсов на образовательных программах магистратуры и </w:t>
      </w:r>
      <w:proofErr w:type="spellStart"/>
      <w:r w:rsidRPr="00F04989">
        <w:rPr>
          <w:sz w:val="26"/>
          <w:szCs w:val="26"/>
        </w:rPr>
        <w:t>бакалавриата</w:t>
      </w:r>
      <w:proofErr w:type="spellEnd"/>
      <w:r w:rsidRPr="00F04989">
        <w:rPr>
          <w:sz w:val="26"/>
          <w:szCs w:val="26"/>
        </w:rPr>
        <w:t>;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B35F2E" w:rsidRPr="00F04989" w:rsidRDefault="00B35F2E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F04989" w:rsidRP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04989">
        <w:rPr>
          <w:sz w:val="26"/>
          <w:szCs w:val="26"/>
        </w:rPr>
        <w:t>)</w:t>
      </w:r>
      <w:r w:rsidRPr="00F04989">
        <w:rPr>
          <w:sz w:val="26"/>
          <w:szCs w:val="26"/>
        </w:rPr>
        <w:tab/>
        <w:t xml:space="preserve">в части </w:t>
      </w:r>
      <w:r w:rsidRPr="00F04989">
        <w:rPr>
          <w:i/>
          <w:sz w:val="26"/>
          <w:szCs w:val="26"/>
        </w:rPr>
        <w:t>разностороннего развития</w:t>
      </w:r>
      <w:r w:rsidRPr="00F04989">
        <w:rPr>
          <w:sz w:val="26"/>
          <w:szCs w:val="26"/>
        </w:rPr>
        <w:t>: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взаимодействию между аспирантами, ведущими исследования по разным направлениям;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междисциплинарные направления исследований и совместную исследовательскую работу;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возможность для активного взаимодействия между аспирантами и сотрудниками аспирантской школы из кампусов, расположенных в Москве и Санкт-Петербурге;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активно действующий научно-исследовательский семинар, охватывающий разные направления исследований в рамках профиля аспирантской школы.</w:t>
      </w:r>
    </w:p>
    <w:p w:rsidR="00F04989" w:rsidRDefault="00F04989" w:rsidP="00F04989">
      <w:pPr>
        <w:pStyle w:val="1"/>
        <w:keepNext/>
        <w:spacing w:after="0" w:line="240" w:lineRule="auto"/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 xml:space="preserve">в части </w:t>
      </w:r>
      <w:r>
        <w:rPr>
          <w:i/>
          <w:sz w:val="26"/>
          <w:szCs w:val="26"/>
        </w:rPr>
        <w:t xml:space="preserve">востребованности на мировом рынке и соответствия уровню степени </w:t>
      </w:r>
      <w:proofErr w:type="spellStart"/>
      <w:r>
        <w:rPr>
          <w:i/>
          <w:sz w:val="26"/>
          <w:szCs w:val="26"/>
          <w:lang w:val="de-DE"/>
        </w:rPr>
        <w:t>PhD</w:t>
      </w:r>
      <w:proofErr w:type="spellEnd"/>
      <w:r>
        <w:rPr>
          <w:i/>
          <w:sz w:val="26"/>
          <w:szCs w:val="26"/>
        </w:rPr>
        <w:t xml:space="preserve"> ведущих мировых университетов: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руководство исследовательской работой аспирантов специалистами с опытом работы на программах </w:t>
      </w:r>
      <w:proofErr w:type="spellStart"/>
      <w:r>
        <w:rPr>
          <w:sz w:val="26"/>
          <w:szCs w:val="26"/>
        </w:rPr>
        <w:t>PhD</w:t>
      </w:r>
      <w:proofErr w:type="spellEnd"/>
      <w:r>
        <w:rPr>
          <w:sz w:val="26"/>
          <w:szCs w:val="26"/>
        </w:rPr>
        <w:t xml:space="preserve"> ведущих мировых исследовательских университетов;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содействие академической мобильности аспирантов как внутри Российской Федерации, так и за рубежом, для проведения международных исследований и презентации итогов на международных конференциях в ведущих мировых исследовательских университетах и исследовательских центрах; 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стимулировать и активно способствовать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F04989" w:rsidRDefault="00F04989" w:rsidP="00F04989">
      <w:pPr>
        <w:pStyle w:val="1"/>
        <w:widowControl/>
        <w:numPr>
          <w:ilvl w:val="0"/>
          <w:numId w:val="13"/>
        </w:numPr>
        <w:suppressAutoHyphens w:val="0"/>
        <w:spacing w:after="0" w:line="240" w:lineRule="auto"/>
        <w:ind w:left="426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развивать международную сеть институциональных связей аспирантской школы, вести работу в направлении открытия совместной аспирантуры с ведущими мировыми исследовательскими университетами.</w:t>
      </w:r>
    </w:p>
    <w:p w:rsidR="00B35F2E" w:rsidRDefault="00B35F2E" w:rsidP="00F04989">
      <w:pPr>
        <w:pStyle w:val="1"/>
        <w:widowControl/>
        <w:suppressAutoHyphens w:val="0"/>
        <w:spacing w:after="0" w:line="240" w:lineRule="auto"/>
        <w:ind w:left="142" w:firstLine="709"/>
        <w:contextualSpacing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</w:t>
      </w:r>
      <w:r w:rsidR="00F04989">
        <w:rPr>
          <w:sz w:val="26"/>
          <w:szCs w:val="26"/>
        </w:rPr>
        <w:t>социологических наук</w:t>
      </w:r>
      <w:r w:rsidRPr="00F04989">
        <w:rPr>
          <w:sz w:val="26"/>
          <w:szCs w:val="26"/>
        </w:rPr>
        <w:t xml:space="preserve"> и привлечение лучших отечественных и зарубежных преподавателей, как для общей </w:t>
      </w:r>
      <w:proofErr w:type="spellStart"/>
      <w:r w:rsidRPr="00F04989">
        <w:rPr>
          <w:sz w:val="26"/>
          <w:szCs w:val="26"/>
        </w:rPr>
        <w:t>супервизии</w:t>
      </w:r>
      <w:proofErr w:type="spellEnd"/>
      <w:r w:rsidRPr="00F04989">
        <w:rPr>
          <w:sz w:val="26"/>
          <w:szCs w:val="26"/>
        </w:rPr>
        <w:t xml:space="preserve"> программы, так и для ведения занятий и экспертизы итоговых аспирантских работ.</w:t>
      </w:r>
    </w:p>
    <w:p w:rsidR="00F04989" w:rsidRPr="00F04989" w:rsidRDefault="00F04989" w:rsidP="00F04989">
      <w:pPr>
        <w:pStyle w:val="1"/>
        <w:widowControl/>
        <w:suppressAutoHyphens w:val="0"/>
        <w:spacing w:after="0" w:line="240" w:lineRule="auto"/>
        <w:ind w:left="142"/>
        <w:contextualSpacing/>
        <w:jc w:val="both"/>
        <w:rPr>
          <w:sz w:val="26"/>
          <w:szCs w:val="26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отвечающие следующим критериям:</w:t>
      </w:r>
    </w:p>
    <w:p w:rsidR="00F04989" w:rsidRDefault="00F04989" w:rsidP="00F04989">
      <w:pPr>
        <w:pStyle w:val="1"/>
        <w:widowControl/>
        <w:numPr>
          <w:ilvl w:val="0"/>
          <w:numId w:val="14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уровень образования – высшее профессиональное образование, подтвержденное дипломом специалиста или дипломом магистра;</w:t>
      </w:r>
    </w:p>
    <w:p w:rsidR="00F04989" w:rsidRDefault="00F04989" w:rsidP="00F04989">
      <w:pPr>
        <w:pStyle w:val="1"/>
        <w:widowControl/>
        <w:numPr>
          <w:ilvl w:val="0"/>
          <w:numId w:val="14"/>
        </w:numPr>
        <w:suppressAutoHyphens w:val="0"/>
        <w:spacing w:after="0" w:line="240" w:lineRule="auto"/>
        <w:ind w:left="993" w:hanging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наиболее успешно сдавшие вступительные экзамены по социологии и иностранному языку и получившие балл выше проходного и продемонстрировавшие свои способности к исследовательской работе.</w:t>
      </w:r>
    </w:p>
    <w:p w:rsid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План набора – 20-35 аспирантов ежегодно (до 25 аспирантов в Москве и до 10 в Санкт-Петербурге). В долгосрочной перспективе планируется небольшое увеличение набора за счет привлечения иностранных аспирантов.</w:t>
      </w:r>
    </w:p>
    <w:p w:rsidR="00156E31" w:rsidRDefault="00156E31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156E31" w:rsidRPr="00156E31" w:rsidRDefault="00156E31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56E31">
        <w:rPr>
          <w:rFonts w:ascii="Times New Roman" w:hAnsi="Times New Roman"/>
          <w:b/>
          <w:color w:val="auto"/>
          <w:sz w:val="28"/>
          <w:szCs w:val="28"/>
        </w:rPr>
        <w:t xml:space="preserve">Международный и отечественный опыт в избранной сфере, особенности проекта в свете этого опыта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Отечественный опыт подготовки аспирантов ранее сводился, в основном, к традиционной аспирантуре, включающей подготовку по специальности, иностранному языку и истории и философии науки с целью сдачи кандидатского минимума и работу по подготовке текста диссертации в режиме индивидуальных консультаций с научным руководителем с ее последующей защитой. Эта «общетеоретическая» подготовка далее самостоятельно углублялась в направлении специализации аспиранта и выбранной темы исследования.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Обучение в аспирантской школе по социологическим наукам в НИЦУ ВШЭ имеет свою специфику по сравнению с типовым форматом подготовки аспирантов в РФ. Основной упор делается на разностороннюю подготовку аспиранта в рамках выбранного профиля, индивидуализацию его образовательного маршрута за счет элективных курсов и углубленную методологическую подготовку в части проведения собственного научного исследования с обсуждением работы на всех стадиях. Реализация части дисциплин на английском языке, а также проведение тематических семинаров с приглашением ведущих профессоров зарубежных университетов, презентация работ на международных конференциях, программы международной академической мобильности, написание статей в ведущие международные социологические журналы, позволят выпускнику программы сформировать знания и навыки, востребованные на академическом рынке труда не только в России, но и за рубежом. </w:t>
      </w:r>
    </w:p>
    <w:p w:rsidR="00156E31" w:rsidRDefault="00156E31" w:rsidP="00156E31">
      <w:pPr>
        <w:pStyle w:val="1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Ведущие исследовательские лаборатории московского и питерского кампусов </w:t>
      </w:r>
      <w:r>
        <w:rPr>
          <w:sz w:val="26"/>
          <w:szCs w:val="26"/>
        </w:rPr>
        <w:lastRenderedPageBreak/>
        <w:t xml:space="preserve">НИУ ВШЭ (Лаборатория сравнительных социальных исследований, лаборатория прикладного сетевого анализа, лаборатория экономико-социологических исследований и др.) вовлекают студентов в международные проекты, и дают им возможность получить опыт исследовательской работы мирового уровня, на практике дают навыки подачи рукописей в международные журналы и доведения их до статуса публикации. Эти навыки и формирующиеся профессиональные связи в ходе реализации международных проектов создают задел для дальнейшей исследовательской и преподавательской работы в ведущих международных университетах, а также университета Москвы и Санкт-Петербурга.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F04989" w:rsidRP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Москва и Санкт-Петербург как крупные города РФ и мира являются образовательными центрами. В ведущих университетах, таких как МГУ, </w:t>
      </w:r>
      <w:proofErr w:type="spellStart"/>
      <w:r w:rsidRPr="00F04989">
        <w:rPr>
          <w:sz w:val="26"/>
          <w:szCs w:val="26"/>
        </w:rPr>
        <w:t>РАНХиГС</w:t>
      </w:r>
      <w:proofErr w:type="spellEnd"/>
      <w:r w:rsidRPr="00F04989">
        <w:rPr>
          <w:sz w:val="26"/>
          <w:szCs w:val="26"/>
        </w:rPr>
        <w:t xml:space="preserve">, ГАУГН (Институт социологии РАН), СПбГУ, Европейский университет, РГГУ, </w:t>
      </w:r>
      <w:proofErr w:type="spellStart"/>
      <w:r w:rsidRPr="00F04989">
        <w:rPr>
          <w:sz w:val="26"/>
          <w:szCs w:val="26"/>
        </w:rPr>
        <w:t>МГиМО</w:t>
      </w:r>
      <w:proofErr w:type="spellEnd"/>
      <w:r w:rsidRPr="00F04989">
        <w:rPr>
          <w:sz w:val="26"/>
          <w:szCs w:val="26"/>
        </w:rPr>
        <w:t xml:space="preserve"> и другие имеют сильные </w:t>
      </w:r>
      <w:proofErr w:type="spellStart"/>
      <w:r w:rsidRPr="00F04989">
        <w:rPr>
          <w:sz w:val="26"/>
          <w:szCs w:val="26"/>
        </w:rPr>
        <w:t>бакалавриатские</w:t>
      </w:r>
      <w:proofErr w:type="spellEnd"/>
      <w:r w:rsidRPr="00F04989">
        <w:rPr>
          <w:sz w:val="26"/>
          <w:szCs w:val="26"/>
        </w:rPr>
        <w:t xml:space="preserve">, магистерские и аспирантские программы по подготовке в области социологии. Однако, НИУ ВШЭ занимает лидирующие позиции в предметных международных рейтингах QS, THE, обгоняя другие вузы по показателям исследовательской и публикационной деятельности. Это отражается и на ежегодных высоких конкурсах при приеме в аспирантуру. </w:t>
      </w:r>
    </w:p>
    <w:p w:rsidR="00F04989" w:rsidRPr="00F04989" w:rsidRDefault="00F04989" w:rsidP="00F04989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F04989">
        <w:rPr>
          <w:sz w:val="26"/>
          <w:szCs w:val="26"/>
        </w:rPr>
        <w:t xml:space="preserve">Аспирантская школа по социологическим наукам одним из своих приоритетов считает удержание лидерских позиций в предоставлении образовательных услуг на уровне аспирантуры, выведении на исследовательский и образовательный рынок труда высококлассных специалистов.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156E31" w:rsidRPr="006C1881" w:rsidRDefault="00156E31" w:rsidP="00156E31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 xml:space="preserve">В аспирантской школе по социологическим наукам НИУ ВШЭ </w:t>
      </w:r>
      <w:r>
        <w:rPr>
          <w:sz w:val="26"/>
          <w:szCs w:val="26"/>
        </w:rPr>
        <w:t xml:space="preserve">– Москва и НИУ ВШЭ – Санкт-Петербург </w:t>
      </w:r>
      <w:r w:rsidRPr="006C1881">
        <w:rPr>
          <w:sz w:val="26"/>
          <w:szCs w:val="26"/>
        </w:rPr>
        <w:t xml:space="preserve">есть достаточный количественный и качественный состав преподавателей для реализации дисциплин направления и программы. </w:t>
      </w:r>
      <w:r>
        <w:rPr>
          <w:sz w:val="26"/>
          <w:szCs w:val="26"/>
        </w:rPr>
        <w:t xml:space="preserve">Профессорско-преподавательский состав в московском и питерском кампусах НИУ ВШЭ имеет ученую степень (в том числе ученую степень, присвоенную за рубежом и признаваемую в Российской Федерации) не ниже кандидата наук, осуществляет научно-исследовательскую деятельность в рамках профилей направления </w:t>
      </w:r>
      <w:r w:rsidRPr="006C1881">
        <w:rPr>
          <w:sz w:val="26"/>
          <w:szCs w:val="26"/>
        </w:rPr>
        <w:t>39.06.01 «Социологические науки»</w:t>
      </w:r>
      <w:r>
        <w:rPr>
          <w:sz w:val="26"/>
          <w:szCs w:val="26"/>
        </w:rPr>
        <w:t>, результатом которой являются публикации в ведущих зарубежных рецензируемых научных журналах уровня Q1</w:t>
      </w:r>
      <w:r>
        <w:rPr>
          <w:sz w:val="26"/>
          <w:szCs w:val="26"/>
        </w:rPr>
        <w:noBreakHyphen/>
        <w:t>Q2 </w:t>
      </w:r>
      <w:proofErr w:type="spellStart"/>
      <w:r>
        <w:rPr>
          <w:sz w:val="26"/>
          <w:szCs w:val="26"/>
        </w:rPr>
        <w:t>Scopus</w:t>
      </w:r>
      <w:proofErr w:type="spellEnd"/>
      <w:r>
        <w:rPr>
          <w:sz w:val="26"/>
          <w:szCs w:val="26"/>
        </w:rPr>
        <w:t xml:space="preserve"> и </w:t>
      </w:r>
      <w:proofErr w:type="spellStart"/>
      <w:r w:rsidRPr="006C1881">
        <w:rPr>
          <w:sz w:val="26"/>
          <w:szCs w:val="26"/>
        </w:rPr>
        <w:t>WoS</w:t>
      </w:r>
      <w:proofErr w:type="spellEnd"/>
      <w:r>
        <w:rPr>
          <w:sz w:val="26"/>
          <w:szCs w:val="26"/>
        </w:rPr>
        <w:t xml:space="preserve">. </w:t>
      </w:r>
      <w:r w:rsidRPr="006C1881">
        <w:rPr>
          <w:sz w:val="26"/>
          <w:szCs w:val="26"/>
        </w:rPr>
        <w:t>Среди них имеются те, кто имеет высокий уровень цитирования публикаций в международных библиографических базах данных (</w:t>
      </w:r>
      <w:proofErr w:type="spellStart"/>
      <w:r w:rsidRPr="006C1881">
        <w:rPr>
          <w:sz w:val="26"/>
          <w:szCs w:val="26"/>
        </w:rPr>
        <w:t>Scopus</w:t>
      </w:r>
      <w:proofErr w:type="spellEnd"/>
      <w:r w:rsidRPr="006C1881">
        <w:rPr>
          <w:sz w:val="26"/>
          <w:szCs w:val="26"/>
        </w:rPr>
        <w:t xml:space="preserve">, </w:t>
      </w:r>
      <w:proofErr w:type="spellStart"/>
      <w:r w:rsidRPr="006C1881">
        <w:rPr>
          <w:sz w:val="26"/>
          <w:szCs w:val="26"/>
        </w:rPr>
        <w:t>WoS</w:t>
      </w:r>
      <w:proofErr w:type="spellEnd"/>
      <w:r w:rsidRPr="006C1881">
        <w:rPr>
          <w:sz w:val="26"/>
          <w:szCs w:val="26"/>
        </w:rPr>
        <w:t xml:space="preserve">), являются рецензентами и редакторами ведущих социологических журналов. </w:t>
      </w:r>
      <w:r>
        <w:rPr>
          <w:sz w:val="26"/>
          <w:szCs w:val="26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Федерации), в общем числе научно-педагогических работников, реализующих ООП, составляет 100%.</w:t>
      </w:r>
      <w:r w:rsidRPr="006C1881">
        <w:rPr>
          <w:sz w:val="26"/>
          <w:szCs w:val="26"/>
        </w:rPr>
        <w:t xml:space="preserve"> </w:t>
      </w:r>
    </w:p>
    <w:p w:rsidR="00156E31" w:rsidRDefault="00156E31" w:rsidP="00156E31">
      <w:pPr>
        <w:pStyle w:val="1"/>
        <w:spacing w:after="0" w:line="24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 xml:space="preserve">Преподаватели аспирантуры имеют высокую репутацию в социологическом сообществе как в России, так и на международной арене. </w:t>
      </w:r>
      <w:r>
        <w:rPr>
          <w:sz w:val="26"/>
          <w:szCs w:val="26"/>
        </w:rPr>
        <w:t xml:space="preserve">Научные сотрудники и преподаватели аспирантской школы имеют высокую академическую мобильность, регулярно выступая на международных конференциях, системно проводя </w:t>
      </w:r>
      <w:r>
        <w:rPr>
          <w:sz w:val="26"/>
          <w:szCs w:val="26"/>
        </w:rPr>
        <w:lastRenderedPageBreak/>
        <w:t xml:space="preserve">международные исследования, в том числе на этапах разработки дизайна, сбора данных, его анализа и презентации. Это дает возможность разрабатывать и обновлять учебные программы в соответствии с потребностями и особенностями международного рынка труда в сфере социологической науки, базироваться на передовой литературе и актуальных дебатах в профессиональной сфере.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«Портрет выпускника» программы. Рынок труда для выпускника программы.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 w:rsidRPr="006C1881">
        <w:rPr>
          <w:sz w:val="26"/>
          <w:szCs w:val="26"/>
        </w:rPr>
        <w:t>Получение качественного образования высшей квалификации на уровне аспирантуры (</w:t>
      </w:r>
      <w:proofErr w:type="spellStart"/>
      <w:r w:rsidRPr="006C1881">
        <w:rPr>
          <w:sz w:val="26"/>
          <w:szCs w:val="26"/>
        </w:rPr>
        <w:t>PhD</w:t>
      </w:r>
      <w:proofErr w:type="spellEnd"/>
      <w:r w:rsidRPr="006C1881">
        <w:rPr>
          <w:sz w:val="26"/>
          <w:szCs w:val="26"/>
        </w:rPr>
        <w:t xml:space="preserve">) дает выпускникам аспирантской школы конкурентное преимущество на рынке труда в российских вузах, научных центрах и институтах, в области </w:t>
      </w:r>
      <w:proofErr w:type="spellStart"/>
      <w:r w:rsidRPr="006C1881">
        <w:rPr>
          <w:sz w:val="26"/>
          <w:szCs w:val="26"/>
        </w:rPr>
        <w:t>нейротехнологий</w:t>
      </w:r>
      <w:proofErr w:type="spellEnd"/>
      <w:r w:rsidRPr="006C1881">
        <w:rPr>
          <w:sz w:val="26"/>
          <w:szCs w:val="26"/>
        </w:rPr>
        <w:t>, в бизнесе в сфере проведения маркетинговых и социологических исследований, на рынке аналитической и исследовательской работы. Аспиранты также успешно предпринимают усилия по прохождению пост-аспирантских (</w:t>
      </w:r>
      <w:proofErr w:type="spellStart"/>
      <w:r w:rsidRPr="006C1881">
        <w:rPr>
          <w:sz w:val="26"/>
          <w:szCs w:val="26"/>
        </w:rPr>
        <w:t>post-doctoral</w:t>
      </w:r>
      <w:proofErr w:type="spellEnd"/>
      <w:r w:rsidRPr="006C1881">
        <w:rPr>
          <w:sz w:val="26"/>
          <w:szCs w:val="26"/>
        </w:rPr>
        <w:t>) стажировок в ведущих университетах и</w:t>
      </w:r>
      <w:r w:rsidRPr="00F6713A">
        <w:rPr>
          <w:sz w:val="26"/>
          <w:szCs w:val="26"/>
        </w:rPr>
        <w:t xml:space="preserve"> исследовательских центрах за рубежом, вовлекаются в работу в многолетних международных проектах. Среди наиболее заинтересованных работодателей в найме успешно защитивших диссертацию аспирантов – НИУ ВШЭ. Высокий уровень подготовки в аспирантской школе позволяет ее выпускникам претендовать на ключевые преподавательские, исследовательские и административные позиции в университете. </w:t>
      </w:r>
    </w:p>
    <w:p w:rsidR="00F04989" w:rsidRDefault="00F04989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56E31" w:rsidRPr="00156E31" w:rsidRDefault="00156E31" w:rsidP="00156E31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56E31">
        <w:rPr>
          <w:rFonts w:ascii="Times New Roman" w:hAnsi="Times New Roman"/>
          <w:b/>
          <w:color w:val="auto"/>
          <w:sz w:val="28"/>
          <w:szCs w:val="28"/>
        </w:rPr>
        <w:t>Адаптация ООП для обучения лиц с ограниченными возможностями здоровья и инвалидов.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>
        <w:rPr>
          <w:sz w:val="26"/>
          <w:szCs w:val="26"/>
        </w:rPr>
        <w:t>аудиоформат</w:t>
      </w:r>
      <w:proofErr w:type="spellEnd"/>
      <w:r>
        <w:rPr>
          <w:sz w:val="26"/>
          <w:szCs w:val="26"/>
        </w:rPr>
        <w:t xml:space="preserve">); в печатной форме на языке Брайля; индивидуальные консультации с привлечением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 индивидуальные задания и консультации.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>; индивидуальные задания и консультации.</w:t>
      </w:r>
    </w:p>
    <w:p w:rsidR="00156E31" w:rsidRDefault="00156E31" w:rsidP="00156E31">
      <w:pPr>
        <w:pStyle w:val="1"/>
        <w:spacing w:after="0" w:line="25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sectPr w:rsidR="00156E31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EF2"/>
    <w:multiLevelType w:val="hybridMultilevel"/>
    <w:tmpl w:val="298A12E8"/>
    <w:lvl w:ilvl="0" w:tplc="9B98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B39DB"/>
    <w:multiLevelType w:val="hybridMultilevel"/>
    <w:tmpl w:val="DE863608"/>
    <w:numStyleLink w:val="8"/>
  </w:abstractNum>
  <w:abstractNum w:abstractNumId="3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7470CD"/>
    <w:multiLevelType w:val="hybridMultilevel"/>
    <w:tmpl w:val="5406CCF8"/>
    <w:numStyleLink w:val="5"/>
  </w:abstractNum>
  <w:abstractNum w:abstractNumId="5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3624F8A"/>
    <w:multiLevelType w:val="hybridMultilevel"/>
    <w:tmpl w:val="7FFC6F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A15F9"/>
    <w:multiLevelType w:val="hybridMultilevel"/>
    <w:tmpl w:val="BBDA2C94"/>
    <w:numStyleLink w:val="7"/>
  </w:abstractNum>
  <w:abstractNum w:abstractNumId="8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09D6037"/>
    <w:multiLevelType w:val="hybridMultilevel"/>
    <w:tmpl w:val="018462CA"/>
    <w:numStyleLink w:val="6"/>
  </w:abstractNum>
  <w:abstractNum w:abstractNumId="10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7"/>
    <w:lvlOverride w:ilvl="0">
      <w:lvl w:ilvl="0" w:tplc="AC1A1508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46B48E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AA4344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BE7DA8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84C14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E4CEAA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C400F4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68EA5C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FA73B4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lvl w:ilvl="0" w:tplc="AC1A1508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646B48E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9AA4344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BBE7DA8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F2984C14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2E4CEAA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D1C400F4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968EA5C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8FA73B4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8"/>
  </w:num>
  <w:num w:numId="11">
    <w:abstractNumId w:val="2"/>
  </w:num>
  <w:num w:numId="12">
    <w:abstractNumId w:val="2"/>
    <w:lvlOverride w:ilvl="0">
      <w:lvl w:ilvl="0" w:tplc="1A78D894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0466C8C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EE8C5D8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F34F522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E3C448E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224FCB2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2606C84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052DC00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DA2F052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156E31"/>
    <w:rsid w:val="006379E9"/>
    <w:rsid w:val="00761AF2"/>
    <w:rsid w:val="00815C99"/>
    <w:rsid w:val="008276F2"/>
    <w:rsid w:val="00924C3E"/>
    <w:rsid w:val="00A8777B"/>
    <w:rsid w:val="00B35F2E"/>
    <w:rsid w:val="00E81476"/>
    <w:rsid w:val="00F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1048-D41A-43D6-8A05-DF79B7B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61AF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52" w:lineRule="auto"/>
      <w:ind w:left="720"/>
    </w:pPr>
    <w:rPr>
      <w:rFonts w:ascii="Times New Roman" w:eastAsia="SimSun" w:hAnsi="Times New Roman" w:cs="Times New Roman"/>
      <w:color w:val="auto"/>
      <w:kern w:val="2"/>
      <w:sz w:val="24"/>
      <w:szCs w:val="24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Иванова Виктория Анатольевна</cp:lastModifiedBy>
  <cp:revision>2</cp:revision>
  <dcterms:created xsi:type="dcterms:W3CDTF">2023-08-17T07:53:00Z</dcterms:created>
  <dcterms:modified xsi:type="dcterms:W3CDTF">2023-08-17T07:53:00Z</dcterms:modified>
</cp:coreProperties>
</file>