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A" w:rsidRPr="00AF1DF8" w:rsidRDefault="001A79EA" w:rsidP="001A79EA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z8o870ti06j5" w:colFirst="0" w:colLast="0"/>
      <w:bookmarkStart w:id="1" w:name="_GoBack"/>
      <w:bookmarkEnd w:id="0"/>
      <w:bookmarkEnd w:id="1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A79EA" w:rsidRPr="00AF1DF8" w:rsidRDefault="001A79EA" w:rsidP="001A79EA"/>
    <w:p w:rsidR="00334ABD" w:rsidRPr="00AF1DF8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sspxmm8vkmv4" w:colFirst="0" w:colLast="0"/>
      <w:bookmarkEnd w:id="2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334ABD" w:rsidRPr="00AF1DF8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y4sp1f32rm4n" w:colFirst="0" w:colLast="0"/>
      <w:bookmarkEnd w:id="3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НИУ ВШЭ</w:t>
      </w:r>
    </w:p>
    <w:p w:rsidR="00334ABD" w:rsidRPr="009005A3" w:rsidRDefault="00334ABD" w:rsidP="00334ABD">
      <w:pPr>
        <w:spacing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</w:t>
      </w:r>
    </w:p>
    <w:p w:rsidR="003A030E" w:rsidRPr="00AF1DF8" w:rsidRDefault="003A030E" w:rsidP="003A030E"/>
    <w:p w:rsidR="003A030E" w:rsidRPr="00AF1DF8" w:rsidRDefault="003A030E" w:rsidP="003A030E"/>
    <w:p w:rsidR="00D52AA1" w:rsidRPr="00AF1DF8" w:rsidRDefault="00BB5725" w:rsidP="009935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отбора на обучение по </w:t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программе </w:t>
      </w:r>
      <w:r w:rsidR="00876C3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br/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«Единый</w:t>
      </w:r>
      <w:r w:rsidR="0033230B"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трек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935DF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FD46F7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FD46F7" w:rsidRPr="00AF1DF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D52AA1" w:rsidRPr="00AF1DF8" w:rsidRDefault="00BB5725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935DF" w:rsidRPr="00AF1DF8" w:rsidRDefault="009935DF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1. Среди лиц, зачисленных на обучение по образовательн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высшего образования − программ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магистратуры</w:t>
      </w:r>
      <w:r w:rsidR="00C17D4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 реализуем</w:t>
      </w:r>
      <w:r w:rsidR="00E36FAB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="00C17D4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Н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ациональном исследовательском университете «Высшая школа экономики» (далее – НИУ ВШЭ)</w:t>
      </w:r>
      <w:r w:rsidR="00777B2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 за исключением филиалов</w:t>
      </w:r>
      <w:r w:rsidR="00C17D4A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E3110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по очной форме обучения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</w:rPr>
        <w:t>на места</w:t>
      </w:r>
      <w:r w:rsidR="00073E31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, финансируемы</w:t>
      </w:r>
      <w:r w:rsidR="00073E31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субсидии из федерального бюджета на выполнение государственного задания и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F9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НИУ ВШЭ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 договорам об оказании платных образовательных услуг, формируются группы для обучения по единому треку «магистратура-аспирантура» (далее – Единый трек).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2. К участию в Едином треке не допускаются обучающиеся, указанные в пункте 1</w:t>
      </w:r>
      <w:r w:rsidR="009935DF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настоящего Регламента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, ранее обучавшиеся в аспирантуре, либо имеющие ученую степень.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3. Все поступающие на Единый трек в обязательном порядке проходят процедуру предварительной регистрации заявлений на корпоративном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сайте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(портале) НИУ ВШЭ в разделе «Аспирантура».</w:t>
      </w:r>
    </w:p>
    <w:p w:rsidR="008C5F12" w:rsidRPr="00AF1DF8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Заявление о приеме на Единый трек подается в срок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</w:t>
      </w:r>
      <w:r w:rsidR="00E433A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августа 00:00 часов до 1</w:t>
      </w:r>
      <w:r w:rsidR="00E433A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сентября 18:00 часов включительно 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на имя ректора НИУ ВШЭ с представлением следующих документов: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3.1.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рекомендательное письмо от научного руководителя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выпускной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квалификационной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работы, выполненной по итогам освоения образовательной программы высшего образования − программы бакалавриата, программы специалитета, либо от руководителя исследовательского проекта, в котором принимал участие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поступающий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на Единый трек, с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оценкой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исследовательского потенциала поступающего, описанием участия поступающего в исследовательских проектах. Рекомендательные письма должны быть подписаны рекомендующим лицом, а также содержать контактную информацию рекомендующего лица (номер телефона или адрес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почты). Рекомендательные письма могут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быть представлены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академическому директору соответствующей Аспирантской школы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непосредственно рекомендателе</w:t>
      </w:r>
      <w:r w:rsidR="002F76F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3.2.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резюме – краткая автобиография, содержащая информацию об образовании поступающего, его опыте работы, в том числе научным или учебным ассистентом, опыте участия в исследовательских проектах, опыте участия в научных конференциях, наличии публикаций (в том числе принятых в печать), владении иностранными языками;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3.3.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мотивационное письмо (до 1000 слов);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3.4.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план-проспект исследования, планируемого к проведению во время обучения на Едином треке;</w:t>
      </w:r>
    </w:p>
    <w:p w:rsidR="00D52AA1" w:rsidRPr="00AF1DF8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3.5.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международный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 w:rsidRPr="00AF1DF8">
        <w:rPr>
          <w:rFonts w:ascii="Times New Roman" w:eastAsia="Times New Roman" w:hAnsi="Times New Roman" w:cs="Times New Roman"/>
          <w:sz w:val="26"/>
          <w:szCs w:val="26"/>
        </w:rPr>
        <w:t>языковой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сертификат (при наличии)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C5F12" w:rsidRPr="00AF1DF8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3.6. сертификат победителя конкурса научно – исследовательских работ студентов (НИРС) (при наличии).</w:t>
      </w:r>
    </w:p>
    <w:p w:rsidR="00D52AA1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Все документы представляются на русском или английском языках в электронной форме через корпоративный сайт (портал</w:t>
      </w:r>
      <w:r w:rsidR="008A54B7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НИУ ВШЭ, раздел «Аспирантура».</w:t>
      </w:r>
    </w:p>
    <w:p w:rsidR="007B3AF8" w:rsidRPr="00AF1D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4. Лица, претендующие на обучение по Единому треку, представляют планы-проспекты будущих исследований отборочной комиссии Единого трека по соответствующему направлению подготовки. </w:t>
      </w:r>
    </w:p>
    <w:p w:rsidR="00D52AA1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Состав отборочной комиссии Единого трека утверждается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приказом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проректор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, координирующ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НИУ ВШЭ по реализации основных образовательных программ высшего образования (далее – координирующий проректор)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по представлению академических директоров Аспирантских школ.</w:t>
      </w:r>
    </w:p>
    <w:p w:rsidR="00D52AA1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. Отборочные комиссии </w:t>
      </w:r>
      <w:r w:rsidR="002233B5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Единого трека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представляют ранжированные списки кандидатов на зачисление на обучение по Единому треку в </w:t>
      </w:r>
      <w:r w:rsidR="001E6D57" w:rsidRPr="00AF1DF8">
        <w:rPr>
          <w:rFonts w:ascii="Times New Roman" w:eastAsia="Times New Roman" w:hAnsi="Times New Roman" w:cs="Times New Roman"/>
          <w:sz w:val="26"/>
          <w:szCs w:val="26"/>
        </w:rPr>
        <w:t xml:space="preserve">Приемную комиссию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1E6D57" w:rsidRPr="00AF1D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AB8" w:rsidRPr="00AF1DF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>Критериями отбора являются: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.1. исследовательский потенциал, выражающийся в наличии качественного плана-проекта будущего исследования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.2. наличие публикаций по предполагаемой теме исследования;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.3. успешное участие в научных исследовательских проектах (российских и зарубежных);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.4. выступления на научных конференциях (российских и международных);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.5. высокая исследовательская мотивация, отраженная в мотивационном письме;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.6. достаточное для ведения научной работы владение английским языком, а также иными языками, владение которыми необходимо для подготовки диссертации по выбранной теме (наличие языкового сертификата и прочих документов, подтверждающих иноязычную компетенцию); </w:t>
      </w:r>
    </w:p>
    <w:p w:rsidR="00C33AB8" w:rsidRPr="00AF1DF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 xml:space="preserve">.7. наличие в НИУ ВШЭ исследовательского проекта по теме будущего исследования кандидата. </w:t>
      </w:r>
    </w:p>
    <w:p w:rsidR="007B3AF8" w:rsidRPr="00AF1D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 Решения отборочной комиссии Единого трека оформляются протоколом. </w:t>
      </w:r>
    </w:p>
    <w:p w:rsidR="007B3AF8" w:rsidRPr="00AF1D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8.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Приемная комиссия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AB8" w:rsidRPr="00AF1DF8">
        <w:rPr>
          <w:rFonts w:ascii="Times New Roman" w:eastAsia="Times New Roman" w:hAnsi="Times New Roman" w:cs="Times New Roman"/>
          <w:sz w:val="26"/>
          <w:szCs w:val="26"/>
        </w:rPr>
        <w:t>отбирает для обучения по Единому треку наиболее подготовленных кандидатов, соответствующих условиям настоящего Регламента.</w:t>
      </w:r>
    </w:p>
    <w:p w:rsidR="007B3AF8" w:rsidRPr="00AF1DF8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9.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Заседание Приемной комиссии аспирантуры считается правомочным в случае присутствия на нем не менее 2/3 утвержденного состава.</w:t>
      </w:r>
    </w:p>
    <w:p w:rsidR="007B3AF8" w:rsidRPr="00AF1DF8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</w:rPr>
        <w:t xml:space="preserve">Решение Приемной комиссии 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простым большинством голосов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Апелляции на решение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не предусмотрены.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Решение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о зачислении на обучение по Единому треку (далее – решение) в соответствии с установленным приказом НИУ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>ВШЭ количеством мест оформляется протоколом, который подписывается председателем (заместителем председателя) и секретарем.</w:t>
      </w:r>
    </w:p>
    <w:p w:rsidR="00333159" w:rsidRPr="00AF1DF8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. На основании принятого решения Приемной комиссии 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в дополнение к приказу о зачислени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на обучение по программе магистратуры издается приказ координирующего проректора о прохождении отбора на обучение по Единому треку.</w:t>
      </w:r>
    </w:p>
    <w:p w:rsidR="00E51689" w:rsidRPr="00AF1DF8" w:rsidRDefault="00333159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14</w:t>
      </w:r>
      <w:r w:rsidR="007B3AF8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82D76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Подлинники протоколов отборочной комиссии Единого трека и прилагаемые к ним документы хранятся в Управлении аспирантуры и докторантуры в установленном в </w:t>
      </w:r>
      <w:r w:rsidR="00B01D90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B01D9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порядке.</w:t>
      </w:r>
    </w:p>
    <w:p w:rsidR="00682D76" w:rsidRPr="00AF1DF8" w:rsidRDefault="007B3AF8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33315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C56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Подлинники протоколов При</w:t>
      </w:r>
      <w:r w:rsidR="00F0008F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51689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мной комиссии аспирантуры и прилагаемые к ним документы хранятся в Управлении аспирантуры и докторантуры в установленном в Университете порядке.</w:t>
      </w:r>
    </w:p>
    <w:p w:rsidR="00D52AA1" w:rsidRPr="00AF1DF8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 xml:space="preserve">. Вопросы, не урегулированные настоящим Регламентом, решаются Приемной комиссией 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:rsidR="00D52AA1" w:rsidRPr="00AF1DF8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DF8"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="00BB5725" w:rsidRPr="00AF1DF8">
        <w:rPr>
          <w:rFonts w:ascii="Times New Roman" w:eastAsia="Times New Roman" w:hAnsi="Times New Roman" w:cs="Times New Roman"/>
          <w:sz w:val="26"/>
          <w:szCs w:val="26"/>
        </w:rPr>
        <w:t>. Порядок и особенности реализации Единого трека устанавливаются локальными нормативными актами НИУ ВШЭ в соответствии с требованиями законодательства Российской Федерации.</w:t>
      </w:r>
    </w:p>
    <w:p w:rsidR="00CA19D7" w:rsidRPr="00AF1DF8" w:rsidRDefault="00BB5725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9D7" w:rsidRPr="00AF1DF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14F09" w:rsidRPr="00AF1DF8" w:rsidRDefault="00B14F09" w:rsidP="00B14F09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m6g7weqy7g2h" w:colFirst="0" w:colLast="0"/>
      <w:bookmarkEnd w:id="4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14F09" w:rsidRPr="00AF1DF8" w:rsidRDefault="00B14F09" w:rsidP="00AF1DF8">
      <w:pPr>
        <w:pStyle w:val="4"/>
        <w:keepNext w:val="0"/>
        <w:keepLines w:val="0"/>
        <w:spacing w:before="0" w:after="0" w:line="240" w:lineRule="auto"/>
        <w:ind w:left="5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kzbv3xa0ssem" w:colFirst="0" w:colLast="0"/>
      <w:bookmarkEnd w:id="5"/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Регламенту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на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  <w:bookmarkStart w:id="6" w:name="_wcqwe7akucr" w:colFirst="0" w:colLast="0"/>
      <w:bookmarkEnd w:id="6"/>
      <w:r w:rsidR="00863828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программе «Единый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трек</w:t>
      </w:r>
      <w:r w:rsid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«магистратура-аспирантура» в 202</w:t>
      </w:r>
      <w:r w:rsidR="00E433A6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E433A6" w:rsidRPr="00AF1D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AF1D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</w:t>
      </w:r>
    </w:p>
    <w:p w:rsidR="00FD46F7" w:rsidRPr="00AF1DF8" w:rsidRDefault="00FD46F7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69FF" w:rsidRDefault="00E769FF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46F7" w:rsidRPr="00AF1DF8" w:rsidRDefault="00FD46F7" w:rsidP="00FD46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образовательных программ, по которым проводится отбор на обучение по программе «Единый трек «магистратура-аспирантура» </w:t>
      </w:r>
      <w:r w:rsidR="00B01D90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AF1DF8">
        <w:rPr>
          <w:rFonts w:ascii="Times New Roman" w:eastAsia="Times New Roman" w:hAnsi="Times New Roman" w:cs="Times New Roman"/>
          <w:b/>
          <w:sz w:val="26"/>
          <w:szCs w:val="26"/>
        </w:rPr>
        <w:t>в 2025/2026 учебном году</w:t>
      </w:r>
    </w:p>
    <w:p w:rsidR="00FD46F7" w:rsidRPr="00AF1DF8" w:rsidRDefault="00FD46F7" w:rsidP="00141151">
      <w:pPr>
        <w:spacing w:line="240" w:lineRule="auto"/>
        <w:jc w:val="center"/>
      </w:pPr>
    </w:p>
    <w:p w:rsidR="00B14F09" w:rsidRPr="00AF1DF8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5528"/>
        <w:gridCol w:w="1701"/>
      </w:tblGrid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Аспирантская школа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Образовательные программы магистратуры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Филиал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государственному и муниципальному управлению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8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 Population and development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 экономика в здравоохранении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5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историческим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 о данных (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Data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Science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машинного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данных в биологии и медицине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72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Системное программирование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82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Системная и программная инженерия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23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компьютерные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87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коммуникациям и медиа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Современные медиаисследования и аналитика/ Contemporary Media Research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культурологии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Культурные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9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Религия и общество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1411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математике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4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математическая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23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международным отношениям и зарубежным региональным исследованиям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отношения: европейские и азиатские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91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Современное востоковедение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образованию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3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политическим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политология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69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 и профилактика правовых рисков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Сравнительное правоведение и фундаментальный правовой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бизнесе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международной</w:t>
            </w:r>
            <w:r w:rsidR="005473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торговли и разрешение споров/</w:t>
            </w:r>
            <w:r w:rsidR="005F4E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Law of International Trade and Dispute Resolution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3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9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Фармправо и здравоохранение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правосудии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pStyle w:val="af2"/>
              <w:rPr>
                <w:color w:val="000000"/>
                <w:sz w:val="26"/>
                <w:szCs w:val="26"/>
              </w:rPr>
            </w:pPr>
            <w:r w:rsidRPr="00AF1DF8">
              <w:rPr>
                <w:color w:val="000000"/>
                <w:sz w:val="26"/>
                <w:szCs w:val="26"/>
              </w:rPr>
              <w:t xml:space="preserve">ЛигалТех (Legal </w:t>
            </w:r>
            <w:r w:rsidRPr="00AF1DF8">
              <w:rPr>
                <w:color w:val="000000"/>
                <w:sz w:val="26"/>
                <w:szCs w:val="26"/>
                <w:lang w:val="en-US"/>
              </w:rPr>
              <w:t>T</w:t>
            </w:r>
            <w:r w:rsidRPr="00AF1DF8">
              <w:rPr>
                <w:color w:val="000000"/>
                <w:sz w:val="26"/>
                <w:szCs w:val="26"/>
              </w:rPr>
              <w:t>ech)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pStyle w:val="af2"/>
              <w:rPr>
                <w:color w:val="000000"/>
                <w:sz w:val="26"/>
                <w:szCs w:val="26"/>
              </w:rPr>
            </w:pPr>
            <w:r w:rsidRPr="00AF1DF8">
              <w:rPr>
                <w:color w:val="000000"/>
                <w:sz w:val="26"/>
                <w:szCs w:val="26"/>
              </w:rPr>
              <w:t>Современное частное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психологии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Консультативная психология. Персонология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3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5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социальная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философским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6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 и история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Germanica: история и современность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7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Визуальная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9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9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43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экономическая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Стохастическое моделирование в экономике и финансах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5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Статистический анализ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3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Аграрная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51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Стратегическое управление финансами фирмы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07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рынки и финансовые институты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89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Международная торговая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14115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 по менеджменту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и системы больших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0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0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Маркетинг: цифровые технологии и маркетинговые коммуникации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4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эффективность и производственные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9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Стратегический менеджмент: инвестиции и консалтинг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61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бизнес и цифровые инновации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13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социологическим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 Population and development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в сфере науки, технологий и инноваций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3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Комплексный социальный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5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Социальный анализ рынков на цифровых и опросных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47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Социология публичной сферы и цифровая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2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</w:t>
            </w:r>
            <w:r w:rsidR="005F4EE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тельные социальные исследования</w:t>
            </w: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Comparative Social Research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1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техническим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Системный анализ и математические технологии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 системы и сети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638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безопасность и технологии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237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вещей и киберфизические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электроника и фотоника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Прикладные модели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Аппаратно-программные комплексы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Информационная безопасность в кредитно-финансовой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биологии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Клеточная и молекулярная биотехнология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химии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 молекулярных систем и 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когнитивным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Лингвистическая теория и описание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и оценивание как наука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rPr>
          <w:trHeight w:val="351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лингвистика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лингвистика и текстовая аналитика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филологические практики: поэтика, интерпретация, комментарий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Интеллектуальный анализ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математике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менеджменту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развитием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обеспечение и защита бизнеса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в экономике и менеджменте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Нижний Новгород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экономике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стратегии и аналитика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141151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компьютерным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Вычислительная биология и биоинформатика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Машинное обучение и анализ данных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UX-аналитика и проектирование информационных систем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Физика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экономике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Аналитика данных для бизнеса и экономики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Финансы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Экономика и бизнес-консалтинг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менеджменту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Аналитика данных для бизнеса и экономики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Международный бизнес в странах Азиатско-Тихоокеанского региона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Менеджмент в индустрии впечатлений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Стратегическое управление логистикой и цепями поставок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Финансы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hAnsi="Times New Roman" w:cs="Times New Roman"/>
                <w:sz w:val="26"/>
                <w:szCs w:val="26"/>
              </w:rPr>
              <w:t>Экономика и бизнес-консалтинг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Бизнес- и ИТ-архитектура высокотехнологичных компаний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социологическим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Анализ данных для государства и общества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Современный социальный анализ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AF1DF8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политическим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Сравнительная политика Евразии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  <w:tr w:rsidR="00FD46F7" w:rsidRPr="00491A11" w:rsidTr="00C06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 историческим наукам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AF1DF8" w:rsidRDefault="005414DA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FD46F7" w:rsidRPr="00AF1DF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Глобальная и региональная история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F7" w:rsidRPr="00195FEE" w:rsidRDefault="00FD46F7" w:rsidP="00C0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1DF8">
              <w:rPr>
                <w:rFonts w:ascii="Times New Roman" w:eastAsia="Times New Roman" w:hAnsi="Times New Roman" w:cs="Times New Roman"/>
                <w:sz w:val="26"/>
                <w:szCs w:val="26"/>
              </w:rPr>
              <w:t>Санкт-Петербург</w:t>
            </w:r>
          </w:p>
        </w:tc>
      </w:tr>
    </w:tbl>
    <w:p w:rsidR="00FD46F7" w:rsidRPr="00F21C91" w:rsidRDefault="00FD46F7" w:rsidP="00FD4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B14F09" w:rsidSect="00E769FF">
      <w:headerReference w:type="default" r:id="rId22"/>
      <w:footerReference w:type="default" r:id="rId23"/>
      <w:headerReference w:type="first" r:id="rId24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DA" w:rsidRDefault="005414DA">
      <w:pPr>
        <w:spacing w:line="240" w:lineRule="auto"/>
      </w:pPr>
      <w:r>
        <w:separator/>
      </w:r>
    </w:p>
  </w:endnote>
  <w:endnote w:type="continuationSeparator" w:id="0">
    <w:p w:rsidR="005414DA" w:rsidRDefault="0054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5414DA">
    <w:pPr>
      <w:jc w:val="right"/>
    </w:pPr>
    <w:r>
      <w:rPr>
        <w:b/>
        <w:lang w:val="en-US"/>
      </w:rPr>
      <w:t>09.06.2025 № 6.18-01/090625-1</w:t>
    </w:r>
  </w:p>
  <w:p w:rsidR="00263AE8" w:rsidRDefault="0054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DA" w:rsidRDefault="005414DA">
      <w:pPr>
        <w:spacing w:line="240" w:lineRule="auto"/>
      </w:pPr>
      <w:r>
        <w:separator/>
      </w:r>
    </w:p>
  </w:footnote>
  <w:footnote w:type="continuationSeparator" w:id="0">
    <w:p w:rsidR="005414DA" w:rsidRDefault="00541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42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9FF" w:rsidRPr="00141151" w:rsidRDefault="00E769FF">
        <w:pPr>
          <w:pStyle w:val="ae"/>
          <w:jc w:val="center"/>
          <w:rPr>
            <w:rFonts w:ascii="Times New Roman" w:hAnsi="Times New Roman" w:cs="Times New Roman"/>
          </w:rPr>
        </w:pPr>
        <w:r w:rsidRPr="00141151">
          <w:rPr>
            <w:rFonts w:ascii="Times New Roman" w:hAnsi="Times New Roman" w:cs="Times New Roman"/>
          </w:rPr>
          <w:fldChar w:fldCharType="begin"/>
        </w:r>
        <w:r w:rsidRPr="00141151">
          <w:rPr>
            <w:rFonts w:ascii="Times New Roman" w:hAnsi="Times New Roman" w:cs="Times New Roman"/>
          </w:rPr>
          <w:instrText>PAGE   \* MERGEFORMAT</w:instrText>
        </w:r>
        <w:r w:rsidRPr="00141151">
          <w:rPr>
            <w:rFonts w:ascii="Times New Roman" w:hAnsi="Times New Roman" w:cs="Times New Roman"/>
          </w:rPr>
          <w:fldChar w:fldCharType="separate"/>
        </w:r>
        <w:r w:rsidR="00722F6A" w:rsidRPr="00722F6A">
          <w:rPr>
            <w:rFonts w:ascii="Times New Roman" w:hAnsi="Times New Roman" w:cs="Times New Roman"/>
            <w:noProof/>
            <w:lang w:val="ru-RU"/>
          </w:rPr>
          <w:t>2</w:t>
        </w:r>
        <w:r w:rsidRPr="00141151">
          <w:rPr>
            <w:rFonts w:ascii="Times New Roman" w:hAnsi="Times New Roman" w:cs="Times New Roman"/>
          </w:rPr>
          <w:fldChar w:fldCharType="end"/>
        </w:r>
      </w:p>
    </w:sdtContent>
  </w:sdt>
  <w:p w:rsidR="00D52AA1" w:rsidRDefault="00D52AA1">
    <w:pPr>
      <w:jc w:val="center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7" w:rsidRDefault="008A54B7">
    <w:pPr>
      <w:pStyle w:val="ae"/>
      <w:jc w:val="center"/>
    </w:pPr>
  </w:p>
  <w:p w:rsidR="008A54B7" w:rsidRDefault="008A54B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1"/>
    <w:rsid w:val="00056B5B"/>
    <w:rsid w:val="00073DB7"/>
    <w:rsid w:val="00073E31"/>
    <w:rsid w:val="00081D07"/>
    <w:rsid w:val="000D0124"/>
    <w:rsid w:val="000D52C0"/>
    <w:rsid w:val="001256A1"/>
    <w:rsid w:val="00141151"/>
    <w:rsid w:val="00151DCD"/>
    <w:rsid w:val="001557AC"/>
    <w:rsid w:val="001977FE"/>
    <w:rsid w:val="001A79EA"/>
    <w:rsid w:val="001C1E65"/>
    <w:rsid w:val="001E6D57"/>
    <w:rsid w:val="001F3F3F"/>
    <w:rsid w:val="00204D39"/>
    <w:rsid w:val="002233B5"/>
    <w:rsid w:val="002B2932"/>
    <w:rsid w:val="002C7030"/>
    <w:rsid w:val="002F76FE"/>
    <w:rsid w:val="00323B58"/>
    <w:rsid w:val="003312C5"/>
    <w:rsid w:val="0033230B"/>
    <w:rsid w:val="00333159"/>
    <w:rsid w:val="00334ABD"/>
    <w:rsid w:val="00345F9F"/>
    <w:rsid w:val="00347EF9"/>
    <w:rsid w:val="0038047F"/>
    <w:rsid w:val="003A030E"/>
    <w:rsid w:val="003D0EAE"/>
    <w:rsid w:val="003D4924"/>
    <w:rsid w:val="0046308F"/>
    <w:rsid w:val="00480086"/>
    <w:rsid w:val="004B02C1"/>
    <w:rsid w:val="004C73D2"/>
    <w:rsid w:val="004D01CE"/>
    <w:rsid w:val="004D1B04"/>
    <w:rsid w:val="004F4740"/>
    <w:rsid w:val="00511B85"/>
    <w:rsid w:val="00521F21"/>
    <w:rsid w:val="00533869"/>
    <w:rsid w:val="005414DA"/>
    <w:rsid w:val="00547307"/>
    <w:rsid w:val="00581A58"/>
    <w:rsid w:val="005A4B90"/>
    <w:rsid w:val="005B14AF"/>
    <w:rsid w:val="005B27C8"/>
    <w:rsid w:val="005F4EEC"/>
    <w:rsid w:val="0062533A"/>
    <w:rsid w:val="006268E8"/>
    <w:rsid w:val="00646D51"/>
    <w:rsid w:val="00672147"/>
    <w:rsid w:val="00680454"/>
    <w:rsid w:val="00682D76"/>
    <w:rsid w:val="006A23F6"/>
    <w:rsid w:val="006A5C17"/>
    <w:rsid w:val="006C59CD"/>
    <w:rsid w:val="006D0D28"/>
    <w:rsid w:val="006D4A06"/>
    <w:rsid w:val="007044B7"/>
    <w:rsid w:val="00714903"/>
    <w:rsid w:val="00716020"/>
    <w:rsid w:val="00722F6A"/>
    <w:rsid w:val="007442DF"/>
    <w:rsid w:val="00755F80"/>
    <w:rsid w:val="00777B2A"/>
    <w:rsid w:val="007831AC"/>
    <w:rsid w:val="007B1490"/>
    <w:rsid w:val="007B3AF8"/>
    <w:rsid w:val="007C5406"/>
    <w:rsid w:val="007C640E"/>
    <w:rsid w:val="007F66A9"/>
    <w:rsid w:val="00800FE6"/>
    <w:rsid w:val="008132DD"/>
    <w:rsid w:val="0084794F"/>
    <w:rsid w:val="008519F0"/>
    <w:rsid w:val="00863828"/>
    <w:rsid w:val="00876C3C"/>
    <w:rsid w:val="008A54B7"/>
    <w:rsid w:val="008C167E"/>
    <w:rsid w:val="008C5F12"/>
    <w:rsid w:val="008E038A"/>
    <w:rsid w:val="008F704B"/>
    <w:rsid w:val="009005A3"/>
    <w:rsid w:val="009056FC"/>
    <w:rsid w:val="009475DB"/>
    <w:rsid w:val="00950347"/>
    <w:rsid w:val="009935DF"/>
    <w:rsid w:val="009A4546"/>
    <w:rsid w:val="009A49B5"/>
    <w:rsid w:val="009C4896"/>
    <w:rsid w:val="009D2561"/>
    <w:rsid w:val="009F3535"/>
    <w:rsid w:val="00A1487A"/>
    <w:rsid w:val="00A5681C"/>
    <w:rsid w:val="00A637EA"/>
    <w:rsid w:val="00AA1A67"/>
    <w:rsid w:val="00AF1DF8"/>
    <w:rsid w:val="00B0100D"/>
    <w:rsid w:val="00B01D90"/>
    <w:rsid w:val="00B14F09"/>
    <w:rsid w:val="00B2284B"/>
    <w:rsid w:val="00B2481F"/>
    <w:rsid w:val="00B340A1"/>
    <w:rsid w:val="00B421C5"/>
    <w:rsid w:val="00B47F44"/>
    <w:rsid w:val="00B749C8"/>
    <w:rsid w:val="00B821FA"/>
    <w:rsid w:val="00B864BC"/>
    <w:rsid w:val="00B92938"/>
    <w:rsid w:val="00BB5725"/>
    <w:rsid w:val="00BE1E3D"/>
    <w:rsid w:val="00BE6E67"/>
    <w:rsid w:val="00C10D06"/>
    <w:rsid w:val="00C17D4A"/>
    <w:rsid w:val="00C24CBC"/>
    <w:rsid w:val="00C272A0"/>
    <w:rsid w:val="00C30260"/>
    <w:rsid w:val="00C33AB8"/>
    <w:rsid w:val="00C563FE"/>
    <w:rsid w:val="00C6460C"/>
    <w:rsid w:val="00CA19D7"/>
    <w:rsid w:val="00CA6B6B"/>
    <w:rsid w:val="00CC4B8C"/>
    <w:rsid w:val="00CE0707"/>
    <w:rsid w:val="00CE51C7"/>
    <w:rsid w:val="00CF0A5D"/>
    <w:rsid w:val="00D0649C"/>
    <w:rsid w:val="00D36852"/>
    <w:rsid w:val="00D41906"/>
    <w:rsid w:val="00D466AF"/>
    <w:rsid w:val="00D51B07"/>
    <w:rsid w:val="00D52AA1"/>
    <w:rsid w:val="00D677E6"/>
    <w:rsid w:val="00DD6209"/>
    <w:rsid w:val="00E14055"/>
    <w:rsid w:val="00E31106"/>
    <w:rsid w:val="00E360D3"/>
    <w:rsid w:val="00E36111"/>
    <w:rsid w:val="00E36FAB"/>
    <w:rsid w:val="00E433A6"/>
    <w:rsid w:val="00E51689"/>
    <w:rsid w:val="00E759D5"/>
    <w:rsid w:val="00E769FF"/>
    <w:rsid w:val="00EB318A"/>
    <w:rsid w:val="00EE5440"/>
    <w:rsid w:val="00F0008F"/>
    <w:rsid w:val="00F02B91"/>
    <w:rsid w:val="00F11D7E"/>
    <w:rsid w:val="00F21D2A"/>
    <w:rsid w:val="00F84DA7"/>
    <w:rsid w:val="00FA5EFA"/>
    <w:rsid w:val="00FB3F67"/>
    <w:rsid w:val="00FB5EAF"/>
    <w:rsid w:val="00FD125E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2AC9-3003-43DD-8CB1-EA57DD0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D125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35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3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35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3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35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35D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A030E"/>
    <w:rPr>
      <w:color w:val="666666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4DA7"/>
  </w:style>
  <w:style w:type="paragraph" w:styleId="af0">
    <w:name w:val="footer"/>
    <w:basedOn w:val="a"/>
    <w:link w:val="af1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4DA7"/>
  </w:style>
  <w:style w:type="paragraph" w:styleId="af2">
    <w:name w:val="Normal (Web)"/>
    <w:basedOn w:val="a"/>
    <w:uiPriority w:val="99"/>
    <w:unhideWhenUsed/>
    <w:rsid w:val="00F84DA7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se.ru/ma/ml/" TargetMode="External"/><Relationship Id="rId13" Type="http://schemas.openxmlformats.org/officeDocument/2006/relationships/hyperlink" Target="https://spb.hse.ru/ma/data-analytics/" TargetMode="External"/><Relationship Id="rId18" Type="http://schemas.openxmlformats.org/officeDocument/2006/relationships/hyperlink" Target="https://spb.hse.ru/ma/dap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pb.hse.ru/ma/grhistory/" TargetMode="External"/><Relationship Id="rId7" Type="http://schemas.openxmlformats.org/officeDocument/2006/relationships/hyperlink" Target="https://spb.hse.ru/ma/bioinformatics/" TargetMode="External"/><Relationship Id="rId12" Type="http://schemas.openxmlformats.org/officeDocument/2006/relationships/hyperlink" Target="https://spb.hse.ru/ma/finance/" TargetMode="External"/><Relationship Id="rId17" Type="http://schemas.openxmlformats.org/officeDocument/2006/relationships/hyperlink" Target="https://spb.hse.ru/ma/financ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b.hse.ru/ma/log/" TargetMode="External"/><Relationship Id="rId20" Type="http://schemas.openxmlformats.org/officeDocument/2006/relationships/hyperlink" Target="https://spb.hse.ru/ma/p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b.hse.ru/ma/data-analytics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spb.hse.ru/ma/expma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pb.hse.ru/ma/tmphysics/" TargetMode="External"/><Relationship Id="rId19" Type="http://schemas.openxmlformats.org/officeDocument/2006/relationships/hyperlink" Target="https://spb.hse.ru/ma/m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hse.ru/ma/computer/" TargetMode="External"/><Relationship Id="rId14" Type="http://schemas.openxmlformats.org/officeDocument/2006/relationships/hyperlink" Target="https://spb.hse.ru/ma/interbusines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0590-E0EC-4BEB-BE6A-013DF219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Чупахина Екатерина Владимировна</dc:creator>
  <cp:lastModifiedBy>Григорян Сона Камоевна</cp:lastModifiedBy>
  <cp:revision>2</cp:revision>
  <dcterms:created xsi:type="dcterms:W3CDTF">2025-06-11T13:47:00Z</dcterms:created>
  <dcterms:modified xsi:type="dcterms:W3CDTF">2025-06-11T13:47:00Z</dcterms:modified>
</cp:coreProperties>
</file>